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FEC0" w14:textId="77777777" w:rsidR="00EC50C8" w:rsidRPr="00851F31" w:rsidRDefault="00EC50C8">
      <w:pPr>
        <w:jc w:val="center"/>
        <w:rPr>
          <w:rFonts w:asciiTheme="minorHAnsi" w:hAnsiTheme="minorHAnsi" w:cstheme="minorHAnsi"/>
          <w:b/>
          <w:sz w:val="22"/>
          <w:szCs w:val="22"/>
        </w:rPr>
      </w:pPr>
    </w:p>
    <w:p w14:paraId="7311E19D" w14:textId="77777777" w:rsidR="007067A6" w:rsidRPr="00851F31" w:rsidRDefault="00324A49" w:rsidP="00324A49">
      <w:pPr>
        <w:pStyle w:val="Heading2"/>
        <w:tabs>
          <w:tab w:val="left" w:pos="9038"/>
        </w:tabs>
        <w:jc w:val="left"/>
        <w:rPr>
          <w:rFonts w:asciiTheme="minorHAnsi" w:hAnsiTheme="minorHAnsi" w:cstheme="minorHAnsi"/>
          <w:sz w:val="22"/>
          <w:szCs w:val="22"/>
        </w:rPr>
      </w:pPr>
      <w:r w:rsidRPr="00851F31">
        <w:rPr>
          <w:rFonts w:asciiTheme="minorHAnsi" w:hAnsiTheme="minorHAnsi" w:cstheme="minorHAnsi"/>
          <w:sz w:val="22"/>
          <w:szCs w:val="22"/>
        </w:rPr>
        <w:tab/>
      </w:r>
    </w:p>
    <w:p w14:paraId="10094A63" w14:textId="77777777" w:rsidR="007067A6" w:rsidRPr="00851F31" w:rsidRDefault="007067A6">
      <w:pPr>
        <w:pStyle w:val="Heading2"/>
        <w:rPr>
          <w:rFonts w:asciiTheme="minorHAnsi" w:hAnsiTheme="minorHAnsi" w:cstheme="minorHAnsi"/>
          <w:sz w:val="22"/>
          <w:szCs w:val="22"/>
        </w:rPr>
      </w:pPr>
    </w:p>
    <w:p w14:paraId="698FD249" w14:textId="77777777" w:rsidR="006E5761" w:rsidRPr="00851F31" w:rsidRDefault="006E5761" w:rsidP="006E5761">
      <w:pPr>
        <w:rPr>
          <w:rFonts w:asciiTheme="minorHAnsi" w:hAnsiTheme="minorHAnsi" w:cstheme="minorHAnsi"/>
          <w:sz w:val="22"/>
          <w:szCs w:val="22"/>
        </w:rPr>
      </w:pPr>
    </w:p>
    <w:p w14:paraId="4D831BA0" w14:textId="77777777" w:rsidR="006E5761" w:rsidRPr="00851F31" w:rsidRDefault="006E5761" w:rsidP="006E5761">
      <w:pPr>
        <w:rPr>
          <w:rFonts w:asciiTheme="minorHAnsi" w:hAnsiTheme="minorHAnsi" w:cstheme="minorHAnsi"/>
          <w:sz w:val="22"/>
          <w:szCs w:val="22"/>
        </w:rPr>
      </w:pPr>
    </w:p>
    <w:p w14:paraId="39C7B28D" w14:textId="77777777" w:rsidR="006E5761" w:rsidRPr="00851F31" w:rsidRDefault="006E5761" w:rsidP="006E5761">
      <w:pPr>
        <w:rPr>
          <w:rFonts w:asciiTheme="minorHAnsi" w:hAnsiTheme="minorHAnsi" w:cstheme="minorHAnsi"/>
          <w:sz w:val="22"/>
          <w:szCs w:val="22"/>
        </w:rPr>
      </w:pPr>
    </w:p>
    <w:p w14:paraId="3D199481" w14:textId="77777777" w:rsidR="006E5761" w:rsidRPr="00851F31" w:rsidRDefault="006E5761" w:rsidP="006E5761">
      <w:pPr>
        <w:rPr>
          <w:rFonts w:asciiTheme="minorHAnsi" w:hAnsiTheme="minorHAnsi" w:cstheme="minorHAnsi"/>
          <w:sz w:val="22"/>
          <w:szCs w:val="22"/>
        </w:rPr>
      </w:pPr>
    </w:p>
    <w:p w14:paraId="44D39437" w14:textId="294293F4" w:rsidR="00033777" w:rsidRPr="000516CF" w:rsidRDefault="00907A35" w:rsidP="00FE4E89">
      <w:pPr>
        <w:jc w:val="center"/>
        <w:rPr>
          <w:rFonts w:asciiTheme="minorHAnsi" w:hAnsiTheme="minorHAnsi" w:cstheme="minorHAnsi"/>
          <w:b/>
          <w:sz w:val="96"/>
          <w:szCs w:val="96"/>
        </w:rPr>
      </w:pPr>
      <w:r w:rsidRPr="000516CF">
        <w:rPr>
          <w:rFonts w:asciiTheme="minorHAnsi" w:hAnsiTheme="minorHAnsi" w:cstheme="minorHAnsi"/>
          <w:b/>
          <w:sz w:val="96"/>
          <w:szCs w:val="96"/>
        </w:rPr>
        <w:t>WOODPECKER COURT</w:t>
      </w:r>
      <w:r w:rsidR="00F04D94" w:rsidRPr="000516CF">
        <w:rPr>
          <w:rFonts w:asciiTheme="minorHAnsi" w:hAnsiTheme="minorHAnsi" w:cstheme="minorHAnsi"/>
          <w:b/>
          <w:sz w:val="96"/>
          <w:szCs w:val="96"/>
        </w:rPr>
        <w:t xml:space="preserve"> YOUTH ACTIVIT</w:t>
      </w:r>
      <w:r w:rsidR="006E1AB8" w:rsidRPr="000516CF">
        <w:rPr>
          <w:rFonts w:asciiTheme="minorHAnsi" w:hAnsiTheme="minorHAnsi" w:cstheme="minorHAnsi"/>
          <w:b/>
          <w:sz w:val="96"/>
          <w:szCs w:val="96"/>
        </w:rPr>
        <w:t>IES</w:t>
      </w:r>
    </w:p>
    <w:p w14:paraId="03E9D97E" w14:textId="77777777" w:rsidR="00EC50C8" w:rsidRPr="00851F31" w:rsidRDefault="00EC50C8" w:rsidP="00FE4E89">
      <w:pPr>
        <w:jc w:val="center"/>
        <w:rPr>
          <w:rFonts w:asciiTheme="minorHAnsi" w:hAnsiTheme="minorHAnsi" w:cstheme="minorHAnsi"/>
          <w:b/>
          <w:sz w:val="22"/>
          <w:szCs w:val="22"/>
        </w:rPr>
      </w:pPr>
    </w:p>
    <w:p w14:paraId="3D4960F5" w14:textId="77777777" w:rsidR="00D45061" w:rsidRPr="00851F31" w:rsidRDefault="00D45061" w:rsidP="00FE4E89">
      <w:pPr>
        <w:jc w:val="center"/>
        <w:rPr>
          <w:rFonts w:asciiTheme="minorHAnsi" w:hAnsiTheme="minorHAnsi" w:cstheme="minorHAnsi"/>
          <w:b/>
          <w:sz w:val="22"/>
          <w:szCs w:val="22"/>
        </w:rPr>
      </w:pPr>
    </w:p>
    <w:p w14:paraId="43197AF5" w14:textId="77777777" w:rsidR="00D45061" w:rsidRPr="00851F31" w:rsidRDefault="00D45061" w:rsidP="00FE4E89">
      <w:pPr>
        <w:jc w:val="center"/>
        <w:rPr>
          <w:rFonts w:asciiTheme="minorHAnsi" w:hAnsiTheme="minorHAnsi" w:cstheme="minorHAnsi"/>
          <w:b/>
          <w:sz w:val="22"/>
          <w:szCs w:val="22"/>
        </w:rPr>
      </w:pPr>
    </w:p>
    <w:p w14:paraId="438EEEAF" w14:textId="77777777" w:rsidR="00D45061" w:rsidRPr="00851F31" w:rsidRDefault="00D45061" w:rsidP="00FE4E89">
      <w:pPr>
        <w:jc w:val="center"/>
        <w:rPr>
          <w:rFonts w:asciiTheme="minorHAnsi" w:hAnsiTheme="minorHAnsi" w:cstheme="minorHAnsi"/>
          <w:b/>
          <w:sz w:val="22"/>
          <w:szCs w:val="22"/>
        </w:rPr>
      </w:pPr>
    </w:p>
    <w:p w14:paraId="45744736" w14:textId="36168DE3" w:rsidR="000516CF" w:rsidRDefault="002E2BCD" w:rsidP="00FE4E89">
      <w:pPr>
        <w:jc w:val="center"/>
        <w:rPr>
          <w:rFonts w:asciiTheme="minorHAnsi" w:hAnsiTheme="minorHAnsi" w:cstheme="minorHAnsi"/>
          <w:b/>
          <w:sz w:val="72"/>
          <w:szCs w:val="72"/>
        </w:rPr>
      </w:pPr>
      <w:r>
        <w:rPr>
          <w:rFonts w:asciiTheme="minorHAnsi" w:hAnsiTheme="minorHAnsi" w:cstheme="minorHAnsi"/>
          <w:b/>
          <w:sz w:val="72"/>
          <w:szCs w:val="72"/>
        </w:rPr>
        <w:t>Capability of Staff</w:t>
      </w:r>
      <w:r w:rsidR="00EC50C8" w:rsidRPr="000516CF">
        <w:rPr>
          <w:rFonts w:asciiTheme="minorHAnsi" w:hAnsiTheme="minorHAnsi" w:cstheme="minorHAnsi"/>
          <w:b/>
          <w:sz w:val="72"/>
          <w:szCs w:val="72"/>
        </w:rPr>
        <w:t xml:space="preserve"> Policy</w:t>
      </w:r>
    </w:p>
    <w:p w14:paraId="5D6775B5" w14:textId="000E7392" w:rsidR="00EC50C8" w:rsidRPr="000516CF" w:rsidRDefault="000516CF" w:rsidP="00FE4E89">
      <w:pPr>
        <w:jc w:val="center"/>
        <w:rPr>
          <w:rFonts w:asciiTheme="minorHAnsi" w:hAnsiTheme="minorHAnsi" w:cstheme="minorHAnsi"/>
          <w:b/>
          <w:sz w:val="72"/>
          <w:szCs w:val="72"/>
        </w:rPr>
      </w:pPr>
      <w:r w:rsidRPr="000516CF">
        <w:rPr>
          <w:rFonts w:asciiTheme="minorHAnsi" w:hAnsiTheme="minorHAnsi" w:cstheme="minorHAnsi"/>
          <w:b/>
          <w:sz w:val="72"/>
          <w:szCs w:val="72"/>
        </w:rPr>
        <w:t xml:space="preserve"> 2018</w:t>
      </w:r>
    </w:p>
    <w:p w14:paraId="651B7B31" w14:textId="77777777" w:rsidR="00EC50C8" w:rsidRPr="00851F31" w:rsidRDefault="00EC50C8">
      <w:pPr>
        <w:jc w:val="center"/>
        <w:rPr>
          <w:rFonts w:asciiTheme="minorHAnsi" w:hAnsiTheme="minorHAnsi" w:cstheme="minorHAnsi"/>
          <w:b/>
          <w:sz w:val="22"/>
          <w:szCs w:val="22"/>
        </w:rPr>
      </w:pPr>
    </w:p>
    <w:p w14:paraId="6A51E9DB" w14:textId="77777777" w:rsidR="00EC50C8" w:rsidRPr="00851F31" w:rsidRDefault="00EC50C8">
      <w:pPr>
        <w:rPr>
          <w:rFonts w:asciiTheme="minorHAnsi" w:hAnsiTheme="minorHAnsi" w:cstheme="minorHAnsi"/>
          <w:b/>
          <w:sz w:val="22"/>
          <w:szCs w:val="22"/>
        </w:rPr>
      </w:pPr>
    </w:p>
    <w:p w14:paraId="63855557" w14:textId="77777777" w:rsidR="00EC50C8" w:rsidRPr="00851F31" w:rsidRDefault="00EC50C8" w:rsidP="007067A6">
      <w:pPr>
        <w:rPr>
          <w:rFonts w:asciiTheme="minorHAnsi" w:hAnsiTheme="minorHAnsi" w:cstheme="minorHAnsi"/>
          <w:b/>
          <w:sz w:val="22"/>
          <w:szCs w:val="22"/>
        </w:rPr>
      </w:pPr>
    </w:p>
    <w:p w14:paraId="0D27E232" w14:textId="77777777" w:rsidR="00EC50C8" w:rsidRPr="00851F31" w:rsidRDefault="00EC50C8">
      <w:pPr>
        <w:jc w:val="center"/>
        <w:rPr>
          <w:rFonts w:asciiTheme="minorHAnsi" w:hAnsiTheme="minorHAnsi" w:cstheme="minorHAnsi"/>
          <w:b/>
          <w:sz w:val="22"/>
          <w:szCs w:val="22"/>
        </w:rPr>
      </w:pPr>
    </w:p>
    <w:p w14:paraId="4E1D47BE" w14:textId="77777777" w:rsidR="00CB0045" w:rsidRPr="00851F31" w:rsidRDefault="00CB0045">
      <w:pPr>
        <w:jc w:val="center"/>
        <w:rPr>
          <w:rFonts w:asciiTheme="minorHAnsi" w:hAnsiTheme="minorHAnsi" w:cstheme="minorHAnsi"/>
          <w:b/>
          <w:sz w:val="22"/>
          <w:szCs w:val="22"/>
        </w:rPr>
      </w:pPr>
    </w:p>
    <w:p w14:paraId="54562AF9" w14:textId="77777777" w:rsidR="00CB0045" w:rsidRPr="00851F31" w:rsidRDefault="00CB0045">
      <w:pPr>
        <w:jc w:val="center"/>
        <w:rPr>
          <w:rFonts w:asciiTheme="minorHAnsi" w:hAnsiTheme="minorHAnsi" w:cstheme="minorHAnsi"/>
          <w:b/>
          <w:sz w:val="22"/>
          <w:szCs w:val="22"/>
        </w:rPr>
      </w:pPr>
    </w:p>
    <w:p w14:paraId="08BB8254" w14:textId="77777777" w:rsidR="00CB0045" w:rsidRPr="00851F31" w:rsidRDefault="00CB0045" w:rsidP="007067A6">
      <w:pPr>
        <w:jc w:val="right"/>
        <w:rPr>
          <w:rFonts w:asciiTheme="minorHAnsi" w:hAnsiTheme="minorHAnsi" w:cstheme="minorHAnsi"/>
          <w:b/>
          <w:sz w:val="22"/>
          <w:szCs w:val="22"/>
        </w:rPr>
      </w:pPr>
    </w:p>
    <w:p w14:paraId="1C838B43" w14:textId="77777777" w:rsidR="00CB0045" w:rsidRPr="00851F31" w:rsidRDefault="00CB0045">
      <w:pPr>
        <w:jc w:val="center"/>
        <w:rPr>
          <w:rFonts w:asciiTheme="minorHAnsi" w:hAnsiTheme="minorHAnsi" w:cstheme="minorHAnsi"/>
          <w:b/>
          <w:sz w:val="22"/>
          <w:szCs w:val="22"/>
        </w:rPr>
      </w:pPr>
    </w:p>
    <w:p w14:paraId="7D824C66" w14:textId="77777777" w:rsidR="00CB0045" w:rsidRPr="00851F31" w:rsidRDefault="00CB0045">
      <w:pPr>
        <w:jc w:val="center"/>
        <w:rPr>
          <w:rFonts w:asciiTheme="minorHAnsi" w:hAnsiTheme="minorHAnsi" w:cstheme="minorHAnsi"/>
          <w:b/>
          <w:sz w:val="22"/>
          <w:szCs w:val="22"/>
        </w:rPr>
      </w:pPr>
    </w:p>
    <w:p w14:paraId="0AB9D4B4" w14:textId="77777777" w:rsidR="00FE4E89" w:rsidRPr="00851F31" w:rsidRDefault="00FE4E89">
      <w:pPr>
        <w:jc w:val="center"/>
        <w:rPr>
          <w:rFonts w:asciiTheme="minorHAnsi" w:hAnsiTheme="minorHAnsi" w:cstheme="minorHAnsi"/>
          <w:b/>
          <w:sz w:val="22"/>
          <w:szCs w:val="22"/>
        </w:rPr>
      </w:pPr>
    </w:p>
    <w:p w14:paraId="1621A362" w14:textId="77777777" w:rsidR="00FE4E89" w:rsidRPr="00851F31" w:rsidRDefault="00FE4E89">
      <w:pPr>
        <w:jc w:val="center"/>
        <w:rPr>
          <w:rFonts w:asciiTheme="minorHAnsi" w:hAnsiTheme="minorHAnsi" w:cstheme="minorHAnsi"/>
          <w:b/>
          <w:sz w:val="22"/>
          <w:szCs w:val="22"/>
        </w:rPr>
      </w:pPr>
    </w:p>
    <w:p w14:paraId="23859D9A" w14:textId="77777777" w:rsidR="00FE4E89" w:rsidRPr="00851F31" w:rsidRDefault="00FE4E89">
      <w:pPr>
        <w:jc w:val="center"/>
        <w:rPr>
          <w:rFonts w:asciiTheme="minorHAnsi" w:hAnsiTheme="minorHAnsi" w:cstheme="minorHAnsi"/>
          <w:b/>
          <w:sz w:val="22"/>
          <w:szCs w:val="22"/>
        </w:rPr>
      </w:pPr>
    </w:p>
    <w:p w14:paraId="57FBDCDC" w14:textId="77777777" w:rsidR="00FE4E89" w:rsidRPr="00851F31" w:rsidRDefault="00FE4E89">
      <w:pPr>
        <w:jc w:val="center"/>
        <w:rPr>
          <w:rFonts w:asciiTheme="minorHAnsi" w:hAnsiTheme="minorHAnsi" w:cstheme="minorHAnsi"/>
          <w:b/>
          <w:sz w:val="22"/>
          <w:szCs w:val="22"/>
        </w:rPr>
      </w:pPr>
    </w:p>
    <w:p w14:paraId="7454BB6F" w14:textId="77777777" w:rsidR="00FE4E89" w:rsidRPr="00851F31" w:rsidRDefault="00FE4E89">
      <w:pPr>
        <w:jc w:val="center"/>
        <w:rPr>
          <w:rFonts w:asciiTheme="minorHAnsi" w:hAnsiTheme="minorHAnsi" w:cstheme="minorHAnsi"/>
          <w:b/>
          <w:sz w:val="22"/>
          <w:szCs w:val="22"/>
        </w:rPr>
      </w:pPr>
    </w:p>
    <w:p w14:paraId="71A79785" w14:textId="7E49CCA7" w:rsidR="00FE4E89" w:rsidRPr="00851F31" w:rsidRDefault="00E2401F" w:rsidP="00E2401F">
      <w:pPr>
        <w:tabs>
          <w:tab w:val="left" w:pos="7995"/>
        </w:tabs>
        <w:rPr>
          <w:rFonts w:asciiTheme="minorHAnsi" w:hAnsiTheme="minorHAnsi" w:cstheme="minorHAnsi"/>
          <w:b/>
          <w:sz w:val="22"/>
          <w:szCs w:val="22"/>
        </w:rPr>
      </w:pPr>
      <w:r>
        <w:rPr>
          <w:rFonts w:asciiTheme="minorHAnsi" w:hAnsiTheme="minorHAnsi" w:cstheme="minorHAnsi"/>
          <w:b/>
          <w:sz w:val="22"/>
          <w:szCs w:val="22"/>
        </w:rPr>
        <w:tab/>
      </w:r>
    </w:p>
    <w:p w14:paraId="456CAF72" w14:textId="77777777" w:rsidR="00FE4E89" w:rsidRPr="00851F31" w:rsidRDefault="00FE4E89">
      <w:pPr>
        <w:jc w:val="center"/>
        <w:rPr>
          <w:rFonts w:asciiTheme="minorHAnsi" w:hAnsiTheme="minorHAnsi" w:cstheme="minorHAnsi"/>
          <w:b/>
          <w:sz w:val="22"/>
          <w:szCs w:val="22"/>
        </w:rPr>
      </w:pPr>
    </w:p>
    <w:p w14:paraId="75937211" w14:textId="77777777" w:rsidR="009A4DC0" w:rsidRPr="00851F31" w:rsidRDefault="009A4DC0">
      <w:pPr>
        <w:jc w:val="center"/>
        <w:rPr>
          <w:rFonts w:asciiTheme="minorHAnsi" w:hAnsiTheme="minorHAnsi" w:cstheme="minorHAnsi"/>
          <w:b/>
          <w:sz w:val="22"/>
          <w:szCs w:val="22"/>
        </w:rPr>
      </w:pPr>
    </w:p>
    <w:p w14:paraId="348BE538" w14:textId="77777777" w:rsidR="00410BAE" w:rsidRPr="00851F31" w:rsidRDefault="00410BAE">
      <w:pPr>
        <w:rPr>
          <w:rFonts w:asciiTheme="minorHAnsi" w:hAnsiTheme="minorHAnsi" w:cstheme="minorHAnsi"/>
          <w:b/>
          <w:sz w:val="22"/>
          <w:szCs w:val="22"/>
        </w:rPr>
      </w:pPr>
    </w:p>
    <w:p w14:paraId="75E576AC" w14:textId="77777777" w:rsidR="00410BAE" w:rsidRPr="00851F31" w:rsidRDefault="00410BAE">
      <w:pPr>
        <w:rPr>
          <w:rFonts w:asciiTheme="minorHAnsi" w:hAnsiTheme="minorHAnsi" w:cstheme="minorHAnsi"/>
          <w:b/>
          <w:sz w:val="22"/>
          <w:szCs w:val="22"/>
        </w:rPr>
      </w:pPr>
    </w:p>
    <w:p w14:paraId="7F06A2CF" w14:textId="77777777" w:rsidR="00410BAE" w:rsidRPr="00851F31" w:rsidRDefault="00410BAE">
      <w:pPr>
        <w:rPr>
          <w:rFonts w:asciiTheme="minorHAnsi" w:hAnsiTheme="minorHAnsi" w:cstheme="minorHAnsi"/>
          <w:b/>
          <w:sz w:val="22"/>
          <w:szCs w:val="22"/>
        </w:rPr>
      </w:pPr>
    </w:p>
    <w:p w14:paraId="0417339D" w14:textId="6430BA5E" w:rsidR="00283365" w:rsidRPr="00851F31" w:rsidRDefault="00283365">
      <w:pPr>
        <w:rPr>
          <w:rFonts w:asciiTheme="minorHAnsi" w:hAnsiTheme="minorHAnsi" w:cstheme="minorHAnsi"/>
          <w:b/>
          <w:sz w:val="22"/>
          <w:szCs w:val="22"/>
        </w:rPr>
      </w:pPr>
    </w:p>
    <w:p w14:paraId="0923D1A0" w14:textId="77777777" w:rsidR="00283365" w:rsidRPr="00851F31" w:rsidRDefault="00283365">
      <w:pPr>
        <w:rPr>
          <w:rFonts w:asciiTheme="minorHAnsi" w:hAnsiTheme="minorHAnsi" w:cstheme="minorHAnsi"/>
          <w:b/>
          <w:sz w:val="22"/>
          <w:szCs w:val="22"/>
        </w:rPr>
      </w:pPr>
    </w:p>
    <w:p w14:paraId="3E2D9475" w14:textId="77777777" w:rsidR="000D4BE8" w:rsidRPr="00851F31" w:rsidRDefault="000D4BE8">
      <w:pPr>
        <w:rPr>
          <w:rFonts w:asciiTheme="minorHAnsi" w:hAnsiTheme="minorHAnsi" w:cstheme="minorHAnsi"/>
          <w:b/>
          <w:sz w:val="22"/>
          <w:szCs w:val="22"/>
        </w:rPr>
      </w:pPr>
    </w:p>
    <w:p w14:paraId="75A52238" w14:textId="77777777" w:rsidR="00C7417B" w:rsidRPr="00851F31" w:rsidRDefault="00C7417B">
      <w:pPr>
        <w:rPr>
          <w:rFonts w:asciiTheme="minorHAnsi" w:hAnsiTheme="minorHAnsi" w:cstheme="minorHAnsi"/>
          <w:b/>
          <w:sz w:val="22"/>
          <w:szCs w:val="22"/>
        </w:rPr>
      </w:pPr>
    </w:p>
    <w:p w14:paraId="49DF5AFB" w14:textId="77777777" w:rsidR="002E2BCD" w:rsidRPr="002E2BCD" w:rsidRDefault="002E2BCD" w:rsidP="002E2BCD">
      <w:pPr>
        <w:rPr>
          <w:rFonts w:ascii="Arial" w:hAnsi="Arial" w:cs="Tahoma"/>
          <w:b/>
          <w:color w:val="0070C0"/>
          <w:sz w:val="22"/>
          <w:lang w:val="en-US"/>
        </w:rPr>
      </w:pPr>
      <w:r w:rsidRPr="002E2BCD">
        <w:rPr>
          <w:rFonts w:ascii="Arial" w:hAnsi="Arial" w:cs="Tahoma"/>
          <w:b/>
          <w:color w:val="0070C0"/>
          <w:sz w:val="22"/>
          <w:lang w:val="en-US"/>
        </w:rPr>
        <w:t>1 Introduction</w:t>
      </w:r>
    </w:p>
    <w:p w14:paraId="18B21EE9" w14:textId="77777777" w:rsidR="002E2BCD" w:rsidRPr="002E2BCD" w:rsidRDefault="002E2BCD" w:rsidP="002E2BCD">
      <w:pPr>
        <w:rPr>
          <w:rFonts w:ascii="Arial" w:hAnsi="Arial" w:cs="Tahoma"/>
          <w:color w:val="262626"/>
          <w:sz w:val="20"/>
          <w:szCs w:val="20"/>
          <w:lang w:val="en-US"/>
        </w:rPr>
      </w:pPr>
    </w:p>
    <w:p w14:paraId="04588E51"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Good management with clear expectations and appropriate support will go a long way towards addressing weaknesses in performance. Early identification of problems through performance review and monitoring within the appraisal process will help avoid the need for formal procedures.</w:t>
      </w:r>
    </w:p>
    <w:p w14:paraId="54585958" w14:textId="77777777" w:rsidR="002E2BCD" w:rsidRPr="002E2BCD" w:rsidRDefault="002E2BCD" w:rsidP="002E2BCD">
      <w:pPr>
        <w:rPr>
          <w:rFonts w:ascii="Arial" w:hAnsi="Arial" w:cs="Tahoma"/>
          <w:color w:val="262626"/>
          <w:sz w:val="20"/>
          <w:szCs w:val="20"/>
          <w:lang w:val="en-US"/>
        </w:rPr>
      </w:pPr>
    </w:p>
    <w:p w14:paraId="5C686D58"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In many cases sufficient improvement can be achieved through positive intervention and appropriate support within informal discussions. It is therefore important that all reasonable support, including advice, coaching and further training where appropriate should be explored via informal standard setting discussions (para 3.1) before resorting to the formal procedure (para 4).</w:t>
      </w:r>
    </w:p>
    <w:p w14:paraId="2D37A3C9" w14:textId="77777777" w:rsidR="002E2BCD" w:rsidRPr="002E2BCD" w:rsidRDefault="002E2BCD" w:rsidP="002E2BCD">
      <w:pPr>
        <w:rPr>
          <w:rFonts w:ascii="Arial" w:hAnsi="Arial" w:cs="Tahoma"/>
          <w:color w:val="262626"/>
          <w:sz w:val="20"/>
          <w:szCs w:val="20"/>
          <w:lang w:val="en-US"/>
        </w:rPr>
      </w:pPr>
    </w:p>
    <w:p w14:paraId="4A930F31"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However, if it is reasonably believed that either the use of the informal discussions is unlikely to have the desired impact on performance and that the employee has already been made aware of the concerns from discussions in the appraisal process or that the level of performance is very serious with regard to pupil progress or/and </w:t>
      </w:r>
      <w:proofErr w:type="spellStart"/>
      <w:r w:rsidRPr="002E2BCD">
        <w:rPr>
          <w:rFonts w:ascii="Arial" w:hAnsi="Arial" w:cs="Tahoma"/>
          <w:color w:val="262626"/>
          <w:sz w:val="20"/>
          <w:szCs w:val="20"/>
          <w:lang w:val="en-US"/>
        </w:rPr>
        <w:t>behaviour</w:t>
      </w:r>
      <w:proofErr w:type="spellEnd"/>
      <w:r w:rsidRPr="002E2BCD">
        <w:rPr>
          <w:rFonts w:ascii="Arial" w:hAnsi="Arial" w:cs="Tahoma"/>
          <w:color w:val="262626"/>
          <w:sz w:val="20"/>
          <w:szCs w:val="20"/>
          <w:lang w:val="en-US"/>
        </w:rPr>
        <w:t xml:space="preserve"> then the process can move direct to the formal procedure as set out in paragraph 4 below.</w:t>
      </w:r>
    </w:p>
    <w:p w14:paraId="3EF23448" w14:textId="77777777" w:rsidR="002E2BCD" w:rsidRPr="002E2BCD" w:rsidRDefault="002E2BCD" w:rsidP="002E2BCD">
      <w:pPr>
        <w:rPr>
          <w:rFonts w:ascii="Arial" w:hAnsi="Arial" w:cs="Tahoma"/>
          <w:color w:val="262626"/>
          <w:sz w:val="20"/>
          <w:szCs w:val="20"/>
          <w:lang w:val="en-US"/>
        </w:rPr>
      </w:pPr>
    </w:p>
    <w:p w14:paraId="6CCC727D" w14:textId="77777777" w:rsidR="002E2BCD" w:rsidRPr="002E2BCD" w:rsidRDefault="002E2BCD" w:rsidP="002E2BCD">
      <w:pPr>
        <w:rPr>
          <w:rFonts w:ascii="Arial" w:hAnsi="Arial" w:cs="Tahoma"/>
          <w:b/>
          <w:color w:val="0070C0"/>
          <w:sz w:val="22"/>
          <w:lang w:val="en-US"/>
        </w:rPr>
      </w:pPr>
      <w:r w:rsidRPr="002E2BCD">
        <w:rPr>
          <w:rFonts w:ascii="Arial" w:hAnsi="Arial" w:cs="Tahoma"/>
          <w:b/>
          <w:color w:val="0070C0"/>
          <w:sz w:val="22"/>
          <w:lang w:val="en-US"/>
        </w:rPr>
        <w:t>2 Aim and Scope of the Procedure</w:t>
      </w:r>
    </w:p>
    <w:p w14:paraId="7A51186C" w14:textId="77777777" w:rsidR="002E2BCD" w:rsidRPr="002E2BCD" w:rsidRDefault="002E2BCD" w:rsidP="002E2BCD">
      <w:pPr>
        <w:rPr>
          <w:rFonts w:ascii="Arial" w:hAnsi="Arial" w:cs="Tahoma"/>
          <w:color w:val="262626"/>
          <w:sz w:val="20"/>
          <w:szCs w:val="20"/>
          <w:lang w:val="en-US"/>
        </w:rPr>
      </w:pPr>
    </w:p>
    <w:p w14:paraId="1422E08C"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primary aim of this procedure is to assist and support employees whose performance is causing concern to attain the standards required. This is essential in the provision of the highest standards of education and care of children/students.</w:t>
      </w:r>
    </w:p>
    <w:p w14:paraId="190D1156" w14:textId="77777777" w:rsidR="002E2BCD" w:rsidRPr="002E2BCD" w:rsidRDefault="002E2BCD" w:rsidP="002E2BCD">
      <w:pPr>
        <w:rPr>
          <w:rFonts w:ascii="Arial" w:hAnsi="Arial" w:cs="Tahoma"/>
          <w:color w:val="262626"/>
          <w:sz w:val="20"/>
          <w:szCs w:val="20"/>
          <w:lang w:val="en-US"/>
        </w:rPr>
      </w:pPr>
    </w:p>
    <w:p w14:paraId="255EC5BE" w14:textId="25CA4396"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However this </w:t>
      </w:r>
      <w:r w:rsidR="0064103A">
        <w:rPr>
          <w:rFonts w:ascii="Arial" w:hAnsi="Arial" w:cs="Tahoma"/>
          <w:color w:val="262626"/>
          <w:sz w:val="20"/>
          <w:szCs w:val="20"/>
          <w:lang w:val="en-US"/>
        </w:rPr>
        <w:t>procedure also enables WCYA</w:t>
      </w:r>
      <w:r w:rsidRPr="002E2BCD">
        <w:rPr>
          <w:rFonts w:ascii="Arial" w:hAnsi="Arial" w:cs="Tahoma"/>
          <w:color w:val="262626"/>
          <w:sz w:val="20"/>
          <w:szCs w:val="20"/>
          <w:lang w:val="en-US"/>
        </w:rPr>
        <w:t xml:space="preserve"> to take essential management action, including dismissal within reasonable timescales in respect of employees whose performance continues to fall short of the required standards.</w:t>
      </w:r>
    </w:p>
    <w:p w14:paraId="3FD4D806" w14:textId="77777777" w:rsidR="002E2BCD" w:rsidRPr="002E2BCD" w:rsidRDefault="002E2BCD" w:rsidP="002E2BCD">
      <w:pPr>
        <w:rPr>
          <w:rFonts w:ascii="Arial" w:hAnsi="Arial" w:cs="Tahoma"/>
          <w:color w:val="262626"/>
          <w:sz w:val="20"/>
          <w:szCs w:val="20"/>
          <w:lang w:val="en-US"/>
        </w:rPr>
      </w:pPr>
    </w:p>
    <w:p w14:paraId="63703B63"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This procedure does not apply to support staff during probationary periods as any performance (or conduct) concerns should be dealt with as part of the supervision and induction for new staff.</w:t>
      </w:r>
    </w:p>
    <w:p w14:paraId="6FAB54D2" w14:textId="77777777" w:rsidR="002E2BCD" w:rsidRPr="002E2BCD" w:rsidRDefault="002E2BCD" w:rsidP="002E2BCD">
      <w:pPr>
        <w:rPr>
          <w:rFonts w:ascii="Arial" w:hAnsi="Arial" w:cs="Tahoma"/>
          <w:color w:val="262626"/>
          <w:sz w:val="20"/>
          <w:szCs w:val="20"/>
          <w:lang w:val="en-US"/>
        </w:rPr>
      </w:pPr>
    </w:p>
    <w:p w14:paraId="1AE1E963" w14:textId="77777777" w:rsidR="002E2BCD" w:rsidRPr="002E2BCD" w:rsidRDefault="002E2BCD" w:rsidP="002E2BCD">
      <w:pPr>
        <w:rPr>
          <w:rFonts w:ascii="Arial" w:hAnsi="Arial" w:cs="Tahoma"/>
          <w:b/>
          <w:color w:val="0070C0"/>
          <w:sz w:val="22"/>
          <w:lang w:val="en-US"/>
        </w:rPr>
      </w:pPr>
      <w:r w:rsidRPr="002E2BCD">
        <w:rPr>
          <w:rFonts w:ascii="Arial" w:hAnsi="Arial" w:cs="Tahoma"/>
          <w:b/>
          <w:color w:val="0070C0"/>
          <w:sz w:val="22"/>
          <w:lang w:val="en-US"/>
        </w:rPr>
        <w:t>3 Early Action to Address Performance Concerns</w:t>
      </w:r>
    </w:p>
    <w:p w14:paraId="67C3406C" w14:textId="77777777" w:rsidR="002E2BCD" w:rsidRPr="002E2BCD" w:rsidRDefault="002E2BCD" w:rsidP="002E2BCD">
      <w:pPr>
        <w:rPr>
          <w:rFonts w:ascii="Arial" w:hAnsi="Arial" w:cs="Tahoma"/>
          <w:color w:val="262626"/>
          <w:sz w:val="20"/>
          <w:szCs w:val="20"/>
          <w:lang w:val="en-US"/>
        </w:rPr>
      </w:pPr>
    </w:p>
    <w:p w14:paraId="488B57AF" w14:textId="77777777" w:rsidR="002E2BCD" w:rsidRPr="002E2BCD" w:rsidRDefault="002E2BCD" w:rsidP="002E2BCD">
      <w:pPr>
        <w:rPr>
          <w:rFonts w:ascii="Arial" w:hAnsi="Arial" w:cs="Arial"/>
          <w:b/>
          <w:color w:val="404040"/>
          <w:sz w:val="20"/>
          <w:szCs w:val="20"/>
          <w:lang w:val="en-US"/>
        </w:rPr>
      </w:pPr>
      <w:r w:rsidRPr="002E2BCD">
        <w:rPr>
          <w:rFonts w:ascii="Arial" w:hAnsi="Arial" w:cs="Arial"/>
          <w:b/>
          <w:color w:val="404040"/>
          <w:sz w:val="20"/>
          <w:szCs w:val="20"/>
          <w:lang w:val="en-US"/>
        </w:rPr>
        <w:t>3.1 Informal Standard Setting Discussion</w:t>
      </w:r>
    </w:p>
    <w:p w14:paraId="24AFB65C" w14:textId="77777777" w:rsidR="002E2BCD" w:rsidRPr="002E2BCD" w:rsidRDefault="002E2BCD" w:rsidP="002E2BCD">
      <w:pPr>
        <w:rPr>
          <w:rFonts w:ascii="Arial" w:hAnsi="Arial" w:cs="Tahoma"/>
          <w:color w:val="262626"/>
          <w:sz w:val="20"/>
          <w:szCs w:val="20"/>
          <w:lang w:val="en-US"/>
        </w:rPr>
      </w:pPr>
    </w:p>
    <w:p w14:paraId="03F39C7A"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Appraisers have a responsibility to maintain professional contact and dialogue with their </w:t>
      </w:r>
      <w:proofErr w:type="spellStart"/>
      <w:r w:rsidRPr="002E2BCD">
        <w:rPr>
          <w:rFonts w:ascii="Arial" w:hAnsi="Arial" w:cs="Tahoma"/>
          <w:color w:val="262626"/>
          <w:sz w:val="20"/>
          <w:szCs w:val="20"/>
          <w:lang w:val="en-US"/>
        </w:rPr>
        <w:t>Appraisees</w:t>
      </w:r>
      <w:proofErr w:type="spellEnd"/>
      <w:r w:rsidRPr="002E2BCD">
        <w:rPr>
          <w:rFonts w:ascii="Arial" w:hAnsi="Arial" w:cs="Tahoma"/>
          <w:color w:val="262626"/>
          <w:sz w:val="20"/>
          <w:szCs w:val="20"/>
          <w:lang w:val="en-US"/>
        </w:rPr>
        <w:t xml:space="preserve"> through the appraisal process, to clarify expectations, discuss performance issues and to provide support including coaching, advice and (where relevant) observation with constructive feedback.</w:t>
      </w:r>
    </w:p>
    <w:p w14:paraId="33C69883" w14:textId="77777777" w:rsidR="002E2BCD" w:rsidRPr="002E2BCD" w:rsidRDefault="002E2BCD" w:rsidP="002E2BCD">
      <w:pPr>
        <w:rPr>
          <w:rFonts w:ascii="Arial" w:hAnsi="Arial" w:cs="Tahoma"/>
          <w:color w:val="262626"/>
          <w:sz w:val="20"/>
          <w:szCs w:val="20"/>
          <w:lang w:val="en-US"/>
        </w:rPr>
      </w:pPr>
    </w:p>
    <w:p w14:paraId="64D5A929"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Where the performance of an </w:t>
      </w:r>
      <w:proofErr w:type="spellStart"/>
      <w:r w:rsidRPr="002E2BCD">
        <w:rPr>
          <w:rFonts w:ascii="Arial" w:hAnsi="Arial" w:cs="Tahoma"/>
          <w:color w:val="262626"/>
          <w:sz w:val="20"/>
          <w:szCs w:val="20"/>
          <w:lang w:val="en-US"/>
        </w:rPr>
        <w:t>Appraisee</w:t>
      </w:r>
      <w:proofErr w:type="spellEnd"/>
      <w:r w:rsidRPr="002E2BCD">
        <w:rPr>
          <w:rFonts w:ascii="Arial" w:hAnsi="Arial" w:cs="Tahoma"/>
          <w:color w:val="262626"/>
          <w:sz w:val="20"/>
          <w:szCs w:val="20"/>
          <w:lang w:val="en-US"/>
        </w:rPr>
        <w:t xml:space="preserve"> continues to give concern and the professional dialogue does not appear to be effective then the discussion should move to a Standard Setting meeting.</w:t>
      </w:r>
    </w:p>
    <w:p w14:paraId="73C78659" w14:textId="77777777" w:rsidR="002E2BCD" w:rsidRPr="002E2BCD" w:rsidRDefault="002E2BCD" w:rsidP="002E2BCD">
      <w:pPr>
        <w:rPr>
          <w:rFonts w:ascii="Arial" w:hAnsi="Arial" w:cs="Tahoma"/>
          <w:color w:val="262626"/>
          <w:sz w:val="20"/>
          <w:szCs w:val="20"/>
          <w:lang w:val="en-US"/>
        </w:rPr>
      </w:pPr>
    </w:p>
    <w:p w14:paraId="4879F938"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This remains an informal part of the procedure although the meeting will be structured and a note of the discussion and outcome will be recorded. The purpose of the meeting is to explore reasons for the performance concerns, discuss targets for improvement alongside a </w:t>
      </w:r>
      <w:proofErr w:type="spellStart"/>
      <w:r w:rsidRPr="002E2BCD">
        <w:rPr>
          <w:rFonts w:ascii="Arial" w:hAnsi="Arial" w:cs="Tahoma"/>
          <w:color w:val="262626"/>
          <w:sz w:val="20"/>
          <w:szCs w:val="20"/>
          <w:lang w:val="en-US"/>
        </w:rPr>
        <w:t>programme</w:t>
      </w:r>
      <w:proofErr w:type="spellEnd"/>
      <w:r w:rsidRPr="002E2BCD">
        <w:rPr>
          <w:rFonts w:ascii="Arial" w:hAnsi="Arial" w:cs="Tahoma"/>
          <w:color w:val="262626"/>
          <w:sz w:val="20"/>
          <w:szCs w:val="20"/>
          <w:lang w:val="en-US"/>
        </w:rPr>
        <w:t xml:space="preserve"> of support.</w:t>
      </w:r>
    </w:p>
    <w:p w14:paraId="0A5AC0F9" w14:textId="77777777" w:rsidR="002E2BCD" w:rsidRPr="002E2BCD" w:rsidRDefault="002E2BCD" w:rsidP="002E2BCD">
      <w:pPr>
        <w:rPr>
          <w:rFonts w:ascii="Arial" w:hAnsi="Arial" w:cs="Tahoma"/>
          <w:color w:val="262626"/>
          <w:sz w:val="20"/>
          <w:szCs w:val="20"/>
          <w:lang w:val="en-US"/>
        </w:rPr>
      </w:pPr>
    </w:p>
    <w:p w14:paraId="56A9CBF3" w14:textId="3DD180AD"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meeting may be conducted by the Appraiser or if appropriate the matter may be referred to a mor</w:t>
      </w:r>
      <w:r w:rsidR="00B2679A">
        <w:rPr>
          <w:rFonts w:ascii="Arial" w:hAnsi="Arial" w:cs="Tahoma"/>
          <w:color w:val="262626"/>
          <w:sz w:val="20"/>
          <w:szCs w:val="20"/>
          <w:lang w:val="en-US"/>
        </w:rPr>
        <w:t>e senior member of WCYA Leadership Team/Managing Director</w:t>
      </w:r>
      <w:r w:rsidRPr="002E2BCD">
        <w:rPr>
          <w:rFonts w:ascii="Arial" w:hAnsi="Arial" w:cs="Tahoma"/>
          <w:color w:val="262626"/>
          <w:sz w:val="20"/>
          <w:szCs w:val="20"/>
          <w:lang w:val="en-US"/>
        </w:rPr>
        <w:t>.</w:t>
      </w:r>
    </w:p>
    <w:p w14:paraId="4B020BA8" w14:textId="77777777" w:rsidR="002E2BCD" w:rsidRPr="002E2BCD" w:rsidRDefault="002E2BCD" w:rsidP="002E2BCD">
      <w:pPr>
        <w:rPr>
          <w:rFonts w:ascii="Arial" w:hAnsi="Arial" w:cs="Tahoma"/>
          <w:i/>
          <w:color w:val="262626"/>
          <w:sz w:val="20"/>
          <w:szCs w:val="20"/>
          <w:lang w:val="en-US"/>
        </w:rPr>
      </w:pPr>
    </w:p>
    <w:p w14:paraId="288618D4"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employee should be given reasonable written notice, good practice being up to five working days’ notice, of the meeting to prepare and give them the opportunity obtain someone suitable such as a workplace colleague or trade union representative to accompany him/her to the meeting if required.</w:t>
      </w:r>
    </w:p>
    <w:p w14:paraId="3B734CF7" w14:textId="77777777" w:rsidR="002E2BCD" w:rsidRPr="002E2BCD" w:rsidRDefault="002E2BCD" w:rsidP="002E2BCD">
      <w:pPr>
        <w:rPr>
          <w:rFonts w:ascii="Arial" w:hAnsi="Arial" w:cs="Tahoma"/>
          <w:color w:val="262626"/>
          <w:sz w:val="20"/>
          <w:szCs w:val="20"/>
          <w:lang w:val="en-US"/>
        </w:rPr>
      </w:pPr>
    </w:p>
    <w:p w14:paraId="515C724D"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standard setting meeting must address the following issues clearly and fully:</w:t>
      </w:r>
    </w:p>
    <w:p w14:paraId="6299D441" w14:textId="77777777" w:rsidR="002E2BCD" w:rsidRPr="002E2BCD" w:rsidRDefault="002E2BCD" w:rsidP="002E2BCD">
      <w:pPr>
        <w:rPr>
          <w:rFonts w:ascii="Arial" w:hAnsi="Arial" w:cs="Tahoma"/>
          <w:color w:val="262626"/>
          <w:sz w:val="20"/>
          <w:szCs w:val="20"/>
          <w:lang w:val="en-US"/>
        </w:rPr>
      </w:pPr>
    </w:p>
    <w:p w14:paraId="4270AB1D"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t>The areas of performance that are causing concern and the evidence or information that leads to this view</w:t>
      </w:r>
    </w:p>
    <w:p w14:paraId="776147C8"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t>The expected standards of performance</w:t>
      </w:r>
    </w:p>
    <w:p w14:paraId="6A0BB219"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t>An opportunity for the employee to respond or to provide any relevant information relating to the concerns</w:t>
      </w:r>
    </w:p>
    <w:p w14:paraId="5DBC5F64"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lastRenderedPageBreak/>
        <w:t xml:space="preserve">Timescales in which performance is expected to improve </w:t>
      </w:r>
    </w:p>
    <w:p w14:paraId="1EA47844"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t>Clear targets to establish whether the required standards have been achieved</w:t>
      </w:r>
    </w:p>
    <w:p w14:paraId="26A682A0"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t xml:space="preserve">Ongoing support, advice, guidance and appropriate training </w:t>
      </w:r>
    </w:p>
    <w:p w14:paraId="5CEDF742"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t>Arrangements for the monitoring/assessment of performance</w:t>
      </w:r>
    </w:p>
    <w:p w14:paraId="30339597" w14:textId="77777777" w:rsidR="002E2BCD" w:rsidRPr="002E2BCD" w:rsidRDefault="002E2BCD" w:rsidP="002E2BCD">
      <w:pPr>
        <w:numPr>
          <w:ilvl w:val="0"/>
          <w:numId w:val="26"/>
        </w:numPr>
        <w:spacing w:line="360" w:lineRule="auto"/>
        <w:rPr>
          <w:rFonts w:ascii="Arial" w:hAnsi="Arial" w:cs="Tahoma"/>
          <w:color w:val="262626"/>
          <w:sz w:val="20"/>
          <w:szCs w:val="20"/>
          <w:lang w:val="en-US"/>
        </w:rPr>
      </w:pPr>
      <w:r w:rsidRPr="002E2BCD">
        <w:rPr>
          <w:rFonts w:ascii="Arial" w:hAnsi="Arial" w:cs="Tahoma"/>
          <w:color w:val="262626"/>
          <w:sz w:val="20"/>
          <w:szCs w:val="20"/>
          <w:lang w:val="en-US"/>
        </w:rPr>
        <w:t>Arrangements including a date for assessment at the end of the review period.</w:t>
      </w:r>
    </w:p>
    <w:p w14:paraId="45FE89F0" w14:textId="77777777" w:rsidR="002E2BCD" w:rsidRPr="002E2BCD" w:rsidRDefault="002E2BCD" w:rsidP="002E2BCD">
      <w:pPr>
        <w:rPr>
          <w:rFonts w:ascii="Arial" w:hAnsi="Arial" w:cs="Tahoma"/>
          <w:color w:val="262626"/>
          <w:sz w:val="20"/>
          <w:szCs w:val="20"/>
          <w:lang w:val="en-US"/>
        </w:rPr>
      </w:pPr>
    </w:p>
    <w:p w14:paraId="50FE8BFC"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Targets set within this discussion should be proportionate in number, reasonable in expectations with clear success criteria and a focus on development.</w:t>
      </w:r>
    </w:p>
    <w:p w14:paraId="504D2D8B" w14:textId="77777777" w:rsidR="002E2BCD" w:rsidRPr="002E2BCD" w:rsidRDefault="002E2BCD" w:rsidP="002E2BCD">
      <w:pPr>
        <w:rPr>
          <w:rFonts w:ascii="Arial" w:hAnsi="Arial" w:cs="Tahoma"/>
          <w:color w:val="262626"/>
          <w:sz w:val="20"/>
          <w:szCs w:val="20"/>
          <w:lang w:val="en-US"/>
        </w:rPr>
      </w:pPr>
    </w:p>
    <w:p w14:paraId="3BD91606" w14:textId="75D173F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It is essential that the employee is made fully aware that the process could move to the formal procedure should performance not improve to the required standard. In the light of this potential implication it could be of benefit to both</w:t>
      </w:r>
      <w:r w:rsidR="00B2679A">
        <w:rPr>
          <w:rFonts w:ascii="Arial" w:hAnsi="Arial" w:cs="Tahoma"/>
          <w:color w:val="262626"/>
          <w:sz w:val="20"/>
          <w:szCs w:val="20"/>
          <w:lang w:val="en-US"/>
        </w:rPr>
        <w:t xml:space="preserve"> line</w:t>
      </w:r>
      <w:r w:rsidRPr="002E2BCD">
        <w:rPr>
          <w:rFonts w:ascii="Arial" w:hAnsi="Arial" w:cs="Tahoma"/>
          <w:color w:val="262626"/>
          <w:sz w:val="20"/>
          <w:szCs w:val="20"/>
          <w:lang w:val="en-US"/>
        </w:rPr>
        <w:t xml:space="preserve"> manager/appraiser and employee to permit the involvement of a workplace colleague or trade union representative. However, this would not impact upon the status or purpose of the meeting. </w:t>
      </w:r>
    </w:p>
    <w:p w14:paraId="122EA692" w14:textId="77777777" w:rsidR="002E2BCD" w:rsidRPr="002E2BCD" w:rsidRDefault="002E2BCD" w:rsidP="002E2BCD">
      <w:pPr>
        <w:rPr>
          <w:rFonts w:ascii="Arial" w:hAnsi="Arial" w:cs="Tahoma"/>
          <w:color w:val="262626"/>
          <w:sz w:val="20"/>
          <w:szCs w:val="20"/>
          <w:lang w:val="en-US"/>
        </w:rPr>
      </w:pPr>
    </w:p>
    <w:p w14:paraId="22B8DFF8"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The timescale for the review period will need to reflect all the circumstances of the situation but this will normally be between four and ten weeks. </w:t>
      </w:r>
    </w:p>
    <w:p w14:paraId="2974F806" w14:textId="77777777" w:rsidR="002E2BCD" w:rsidRPr="002E2BCD" w:rsidRDefault="002E2BCD" w:rsidP="002E2BCD">
      <w:pPr>
        <w:rPr>
          <w:rFonts w:ascii="Arial" w:hAnsi="Arial" w:cs="Tahoma"/>
          <w:color w:val="262626"/>
          <w:sz w:val="20"/>
          <w:szCs w:val="20"/>
          <w:lang w:val="en-US"/>
        </w:rPr>
      </w:pPr>
    </w:p>
    <w:p w14:paraId="075BCA3C"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employee will be given a copy of the notes of the meeting and this will include a record of the arrangements set out in a) to h) above.</w:t>
      </w:r>
    </w:p>
    <w:p w14:paraId="2501B664" w14:textId="77777777" w:rsidR="002E2BCD" w:rsidRPr="002E2BCD" w:rsidRDefault="002E2BCD" w:rsidP="002E2BCD">
      <w:pPr>
        <w:rPr>
          <w:rFonts w:ascii="Arial" w:hAnsi="Arial" w:cs="Arial"/>
          <w:b/>
          <w:color w:val="404040"/>
          <w:sz w:val="20"/>
          <w:szCs w:val="20"/>
          <w:lang w:val="en-US"/>
        </w:rPr>
      </w:pPr>
    </w:p>
    <w:p w14:paraId="4DBEE1E2" w14:textId="77777777" w:rsidR="002E2BCD" w:rsidRPr="002E2BCD" w:rsidRDefault="002E2BCD" w:rsidP="002E2BCD">
      <w:pPr>
        <w:rPr>
          <w:rFonts w:ascii="Arial" w:hAnsi="Arial" w:cs="Arial"/>
          <w:b/>
          <w:color w:val="404040"/>
          <w:sz w:val="20"/>
          <w:szCs w:val="20"/>
          <w:lang w:val="en-US"/>
        </w:rPr>
      </w:pPr>
      <w:r w:rsidRPr="002E2BCD">
        <w:rPr>
          <w:rFonts w:ascii="Arial" w:hAnsi="Arial" w:cs="Arial"/>
          <w:b/>
          <w:color w:val="404040"/>
          <w:sz w:val="20"/>
          <w:szCs w:val="20"/>
          <w:lang w:val="en-US"/>
        </w:rPr>
        <w:t>3.2 Early Stage Review</w:t>
      </w:r>
    </w:p>
    <w:p w14:paraId="2EEC86DA" w14:textId="77777777" w:rsidR="002E2BCD" w:rsidRPr="002E2BCD" w:rsidRDefault="002E2BCD" w:rsidP="002E2BCD">
      <w:pPr>
        <w:rPr>
          <w:rFonts w:ascii="Arial" w:hAnsi="Arial" w:cs="Tahoma"/>
          <w:color w:val="262626"/>
          <w:sz w:val="20"/>
          <w:szCs w:val="20"/>
          <w:lang w:val="en-US"/>
        </w:rPr>
      </w:pPr>
    </w:p>
    <w:p w14:paraId="42FE1450"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At the end of this informal review period a meeting to discuss progress will be held with the employee. This meeting will best be conducted by the person who was involved in the standard setting discussion, where possible.</w:t>
      </w:r>
    </w:p>
    <w:p w14:paraId="285E26F7" w14:textId="77777777" w:rsidR="002E2BCD" w:rsidRPr="002E2BCD" w:rsidRDefault="002E2BCD" w:rsidP="002E2BCD">
      <w:pPr>
        <w:rPr>
          <w:rFonts w:ascii="Arial" w:hAnsi="Arial" w:cs="Tahoma"/>
          <w:color w:val="262626"/>
          <w:sz w:val="20"/>
          <w:szCs w:val="20"/>
          <w:lang w:val="en-US"/>
        </w:rPr>
      </w:pPr>
    </w:p>
    <w:p w14:paraId="3F09ACC5"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The employee will be informed that </w:t>
      </w:r>
    </w:p>
    <w:p w14:paraId="7135CFA4" w14:textId="77777777" w:rsidR="002E2BCD" w:rsidRPr="002E2BCD" w:rsidRDefault="002E2BCD" w:rsidP="002E2BCD">
      <w:pPr>
        <w:rPr>
          <w:rFonts w:ascii="Arial" w:hAnsi="Arial" w:cs="Tahoma"/>
          <w:color w:val="262626"/>
          <w:sz w:val="20"/>
          <w:szCs w:val="20"/>
          <w:lang w:val="en-US"/>
        </w:rPr>
      </w:pPr>
    </w:p>
    <w:p w14:paraId="386BAAC2" w14:textId="77777777" w:rsidR="002E2BCD" w:rsidRPr="002E2BCD" w:rsidRDefault="002E2BCD" w:rsidP="002E2BCD">
      <w:pPr>
        <w:numPr>
          <w:ilvl w:val="0"/>
          <w:numId w:val="27"/>
        </w:numPr>
        <w:rPr>
          <w:rFonts w:ascii="Arial" w:hAnsi="Arial" w:cs="Tahoma"/>
          <w:color w:val="262626"/>
          <w:sz w:val="20"/>
          <w:szCs w:val="20"/>
          <w:lang w:val="en-US"/>
        </w:rPr>
      </w:pPr>
      <w:r w:rsidRPr="002E2BCD">
        <w:rPr>
          <w:rFonts w:ascii="Arial" w:hAnsi="Arial" w:cs="Tahoma"/>
          <w:color w:val="262626"/>
          <w:sz w:val="20"/>
          <w:szCs w:val="20"/>
          <w:lang w:val="en-US"/>
        </w:rPr>
        <w:t>His/her performance has improved to an acceptable standard and there will be no further requirement for monitoring against the standards set. It may, however be advisable that ad hoc, informal checking continues for an agreed period of time to ensure that the improved performance is truly embedded, or</w:t>
      </w:r>
    </w:p>
    <w:p w14:paraId="1582A8C6" w14:textId="77777777" w:rsidR="002E2BCD" w:rsidRPr="002E2BCD" w:rsidRDefault="002E2BCD" w:rsidP="002E2BCD">
      <w:pPr>
        <w:rPr>
          <w:rFonts w:ascii="Arial" w:hAnsi="Arial" w:cs="Tahoma"/>
          <w:color w:val="262626"/>
          <w:sz w:val="20"/>
          <w:szCs w:val="20"/>
          <w:lang w:val="en-US"/>
        </w:rPr>
      </w:pPr>
    </w:p>
    <w:p w14:paraId="509174AB" w14:textId="77777777" w:rsidR="002E2BCD" w:rsidRPr="002E2BCD" w:rsidRDefault="002E2BCD" w:rsidP="002E2BCD">
      <w:pPr>
        <w:numPr>
          <w:ilvl w:val="0"/>
          <w:numId w:val="27"/>
        </w:numPr>
        <w:rPr>
          <w:rFonts w:ascii="Arial" w:hAnsi="Arial" w:cs="Tahoma"/>
          <w:color w:val="262626"/>
          <w:sz w:val="20"/>
          <w:szCs w:val="20"/>
          <w:lang w:val="en-US"/>
        </w:rPr>
      </w:pPr>
      <w:r w:rsidRPr="002E2BCD">
        <w:rPr>
          <w:rFonts w:ascii="Arial" w:hAnsi="Arial" w:cs="Tahoma"/>
          <w:color w:val="262626"/>
          <w:sz w:val="20"/>
          <w:szCs w:val="20"/>
          <w:lang w:val="en-US"/>
        </w:rPr>
        <w:t>There has been some improvement and it is a believed that a short extension of the informal standard setting process should be sufficient to enable the employee to reach the standards expected, or</w:t>
      </w:r>
    </w:p>
    <w:p w14:paraId="77359B8F" w14:textId="77777777" w:rsidR="002E2BCD" w:rsidRPr="002E2BCD" w:rsidRDefault="002E2BCD" w:rsidP="002E2BCD">
      <w:pPr>
        <w:rPr>
          <w:rFonts w:ascii="Arial" w:hAnsi="Arial" w:cs="Tahoma"/>
          <w:color w:val="262626"/>
          <w:sz w:val="20"/>
          <w:szCs w:val="20"/>
          <w:lang w:val="en-US"/>
        </w:rPr>
      </w:pPr>
    </w:p>
    <w:p w14:paraId="5E9DBC2D" w14:textId="77777777" w:rsidR="002E2BCD" w:rsidRPr="002E2BCD" w:rsidRDefault="002E2BCD" w:rsidP="002E2BCD">
      <w:pPr>
        <w:numPr>
          <w:ilvl w:val="0"/>
          <w:numId w:val="27"/>
        </w:numPr>
        <w:rPr>
          <w:rFonts w:ascii="Arial" w:hAnsi="Arial" w:cs="Tahoma"/>
          <w:color w:val="262626"/>
          <w:sz w:val="20"/>
          <w:szCs w:val="20"/>
          <w:lang w:val="en-US"/>
        </w:rPr>
      </w:pPr>
      <w:r w:rsidRPr="002E2BCD">
        <w:rPr>
          <w:rFonts w:ascii="Arial" w:hAnsi="Arial" w:cs="Tahoma"/>
          <w:color w:val="262626"/>
          <w:sz w:val="20"/>
          <w:szCs w:val="20"/>
          <w:lang w:val="en-US"/>
        </w:rPr>
        <w:t>His/her performance has not reached an acceptable standard and it is considered appropriate to move into the formal procedure. This will require a formal capability meeting to be arranged.</w:t>
      </w:r>
    </w:p>
    <w:p w14:paraId="6448F4AB" w14:textId="77777777" w:rsidR="002E2BCD" w:rsidRPr="002E2BCD" w:rsidRDefault="002E2BCD" w:rsidP="002E2BCD">
      <w:pPr>
        <w:jc w:val="both"/>
        <w:rPr>
          <w:rFonts w:ascii="Arial" w:hAnsi="Arial" w:cs="Tahoma"/>
          <w:color w:val="262626"/>
          <w:sz w:val="20"/>
          <w:szCs w:val="20"/>
          <w:lang w:val="en-US"/>
        </w:rPr>
      </w:pPr>
    </w:p>
    <w:p w14:paraId="5DDF3AA8" w14:textId="77777777" w:rsidR="002E2BCD" w:rsidRPr="002E2BCD" w:rsidRDefault="002E2BCD" w:rsidP="002E2BCD">
      <w:pPr>
        <w:jc w:val="both"/>
        <w:rPr>
          <w:rFonts w:ascii="Arial" w:hAnsi="Arial" w:cs="Tahoma"/>
          <w:color w:val="262626"/>
          <w:sz w:val="20"/>
          <w:szCs w:val="20"/>
          <w:lang w:val="en-US"/>
        </w:rPr>
      </w:pPr>
    </w:p>
    <w:p w14:paraId="57DA2682" w14:textId="77777777" w:rsidR="002E2BCD" w:rsidRPr="002E2BCD" w:rsidRDefault="002E2BCD" w:rsidP="002E2BCD">
      <w:pPr>
        <w:rPr>
          <w:rFonts w:ascii="Arial" w:hAnsi="Arial" w:cs="Tahoma"/>
          <w:b/>
          <w:color w:val="0070C0"/>
          <w:sz w:val="22"/>
          <w:lang w:val="en-US"/>
        </w:rPr>
      </w:pPr>
      <w:r w:rsidRPr="002E2BCD">
        <w:rPr>
          <w:rFonts w:ascii="Arial" w:hAnsi="Arial" w:cs="Tahoma"/>
          <w:b/>
          <w:color w:val="0070C0"/>
          <w:sz w:val="22"/>
          <w:lang w:val="en-US"/>
        </w:rPr>
        <w:t>4 Formal Capability Procedure</w:t>
      </w:r>
    </w:p>
    <w:p w14:paraId="67041D25" w14:textId="77777777" w:rsidR="002E2BCD" w:rsidRPr="002E2BCD" w:rsidRDefault="002E2BCD" w:rsidP="002E2BCD">
      <w:pPr>
        <w:rPr>
          <w:rFonts w:ascii="Arial" w:hAnsi="Arial" w:cs="Tahoma"/>
          <w:color w:val="262626"/>
          <w:sz w:val="20"/>
          <w:szCs w:val="20"/>
          <w:lang w:val="en-US"/>
        </w:rPr>
      </w:pPr>
    </w:p>
    <w:p w14:paraId="23DEFF11" w14:textId="77777777" w:rsidR="002E2BCD" w:rsidRPr="002E2BCD" w:rsidRDefault="002E2BCD" w:rsidP="002E2BCD">
      <w:pPr>
        <w:rPr>
          <w:rFonts w:ascii="Arial" w:hAnsi="Arial" w:cs="Arial"/>
          <w:b/>
          <w:color w:val="404040"/>
          <w:sz w:val="20"/>
          <w:szCs w:val="20"/>
          <w:lang w:val="en-US"/>
        </w:rPr>
      </w:pPr>
      <w:r w:rsidRPr="002E2BCD">
        <w:rPr>
          <w:rFonts w:ascii="Arial" w:hAnsi="Arial" w:cs="Arial"/>
          <w:b/>
          <w:color w:val="404040"/>
          <w:sz w:val="20"/>
          <w:szCs w:val="20"/>
          <w:lang w:val="en-US"/>
        </w:rPr>
        <w:t>4.1 Formal Capability Meeting</w:t>
      </w:r>
    </w:p>
    <w:p w14:paraId="3CEBF4DC" w14:textId="77777777" w:rsidR="002E2BCD" w:rsidRPr="002E2BCD" w:rsidRDefault="002E2BCD" w:rsidP="002E2BCD">
      <w:pPr>
        <w:rPr>
          <w:rFonts w:ascii="Arial" w:hAnsi="Arial" w:cs="Tahoma"/>
          <w:color w:val="262626"/>
          <w:sz w:val="20"/>
          <w:szCs w:val="20"/>
          <w:lang w:val="en-US"/>
        </w:rPr>
      </w:pPr>
    </w:p>
    <w:p w14:paraId="431D72EA"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At least five working days’ notice will be given of the formal capability meeting.</w:t>
      </w:r>
    </w:p>
    <w:p w14:paraId="5BCE506D" w14:textId="77777777" w:rsidR="002E2BCD" w:rsidRPr="002E2BCD" w:rsidRDefault="002E2BCD" w:rsidP="002E2BCD">
      <w:pPr>
        <w:rPr>
          <w:rFonts w:ascii="Arial" w:hAnsi="Arial" w:cs="Tahoma"/>
          <w:color w:val="262626"/>
          <w:sz w:val="20"/>
          <w:szCs w:val="20"/>
          <w:lang w:val="en-US"/>
        </w:rPr>
      </w:pPr>
    </w:p>
    <w:p w14:paraId="14F04223" w14:textId="78BC4723"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notification will contain sufficient information about the concerns regarding the performance and their possible consequences to enable the employee to prepare to answer the case at a formal capability meeting. It will also contain copies of any written evidence (unless previously provided); the details of the time and place of the meet</w:t>
      </w:r>
      <w:r w:rsidR="00B2679A">
        <w:rPr>
          <w:rFonts w:ascii="Arial" w:hAnsi="Arial" w:cs="Tahoma"/>
          <w:color w:val="262626"/>
          <w:sz w:val="20"/>
          <w:szCs w:val="20"/>
          <w:lang w:val="en-US"/>
        </w:rPr>
        <w:t>ing; and will advise the employee</w:t>
      </w:r>
      <w:r w:rsidRPr="002E2BCD">
        <w:rPr>
          <w:rFonts w:ascii="Arial" w:hAnsi="Arial" w:cs="Tahoma"/>
          <w:color w:val="262626"/>
          <w:sz w:val="20"/>
          <w:szCs w:val="20"/>
          <w:lang w:val="en-US"/>
        </w:rPr>
        <w:t xml:space="preserve"> of their right to be accompanied by a workplace colleague or trade union representative.</w:t>
      </w:r>
    </w:p>
    <w:p w14:paraId="6025F8B4" w14:textId="77777777" w:rsidR="002E2BCD" w:rsidRPr="002E2BCD" w:rsidRDefault="002E2BCD" w:rsidP="002E2BCD">
      <w:pPr>
        <w:rPr>
          <w:rFonts w:ascii="Arial" w:hAnsi="Arial" w:cs="Tahoma"/>
          <w:color w:val="262626"/>
          <w:sz w:val="20"/>
          <w:szCs w:val="20"/>
          <w:lang w:val="en-US"/>
        </w:rPr>
      </w:pPr>
    </w:p>
    <w:p w14:paraId="2BC2EFE0" w14:textId="5E8C3A4B" w:rsidR="002E2BCD" w:rsidRPr="002E2BCD" w:rsidRDefault="002E2BCD" w:rsidP="002E2BCD">
      <w:pPr>
        <w:rPr>
          <w:rFonts w:ascii="Arial" w:hAnsi="Arial" w:cs="Tahoma"/>
          <w:i/>
          <w:iCs/>
          <w:color w:val="262626"/>
          <w:sz w:val="20"/>
          <w:szCs w:val="20"/>
          <w:lang w:val="en-US"/>
        </w:rPr>
      </w:pPr>
      <w:r w:rsidRPr="002E2BCD">
        <w:rPr>
          <w:rFonts w:ascii="Arial" w:hAnsi="Arial" w:cs="Tahoma"/>
          <w:color w:val="262626"/>
          <w:sz w:val="20"/>
          <w:szCs w:val="20"/>
          <w:lang w:val="en-US"/>
        </w:rPr>
        <w:t>This meeting is intended to establish the evidence regarding the performance concerns. It will be conducted by t</w:t>
      </w:r>
      <w:r w:rsidR="00B2679A">
        <w:rPr>
          <w:rFonts w:ascii="Arial" w:hAnsi="Arial" w:cs="Tahoma"/>
          <w:color w:val="262626"/>
          <w:sz w:val="20"/>
          <w:szCs w:val="20"/>
          <w:lang w:val="en-US"/>
        </w:rPr>
        <w:t>he Chair of CIC Board (for Managing Director</w:t>
      </w:r>
      <w:r w:rsidRPr="002E2BCD">
        <w:rPr>
          <w:rFonts w:ascii="Arial" w:hAnsi="Arial" w:cs="Tahoma"/>
          <w:color w:val="262626"/>
          <w:sz w:val="20"/>
          <w:szCs w:val="20"/>
          <w:lang w:val="en-US"/>
        </w:rPr>
        <w:t xml:space="preserve"> capa</w:t>
      </w:r>
      <w:r w:rsidR="00B2679A">
        <w:rPr>
          <w:rFonts w:ascii="Arial" w:hAnsi="Arial" w:cs="Tahoma"/>
          <w:color w:val="262626"/>
          <w:sz w:val="20"/>
          <w:szCs w:val="20"/>
          <w:lang w:val="en-US"/>
        </w:rPr>
        <w:t>bility meetings) or Managing Director</w:t>
      </w:r>
      <w:r w:rsidRPr="002E2BCD">
        <w:rPr>
          <w:rFonts w:ascii="Arial" w:hAnsi="Arial" w:cs="Tahoma"/>
          <w:color w:val="262626"/>
          <w:sz w:val="20"/>
          <w:szCs w:val="20"/>
          <w:lang w:val="en-US"/>
        </w:rPr>
        <w:t xml:space="preserve"> (for other staff)</w:t>
      </w:r>
      <w:r w:rsidRPr="002E2BCD">
        <w:rPr>
          <w:rFonts w:ascii="Arial" w:hAnsi="Arial" w:cs="Tahoma"/>
          <w:i/>
          <w:iCs/>
          <w:color w:val="262626"/>
          <w:sz w:val="20"/>
          <w:szCs w:val="20"/>
          <w:lang w:val="en-US"/>
        </w:rPr>
        <w:t>.</w:t>
      </w:r>
    </w:p>
    <w:p w14:paraId="70794016" w14:textId="77777777" w:rsidR="002E2BCD" w:rsidRPr="002E2BCD" w:rsidRDefault="002E2BCD" w:rsidP="002E2BCD">
      <w:pPr>
        <w:rPr>
          <w:rFonts w:ascii="Arial" w:hAnsi="Arial" w:cs="Tahoma"/>
          <w:i/>
          <w:iCs/>
          <w:color w:val="262626"/>
          <w:sz w:val="20"/>
          <w:szCs w:val="20"/>
          <w:lang w:val="en-US"/>
        </w:rPr>
      </w:pPr>
    </w:p>
    <w:p w14:paraId="769C726B"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meeting allows the employee to respond to the concerns about their performance and to make any relevant representations. This may provide new information or a different context to the information/evidence already collected.</w:t>
      </w:r>
    </w:p>
    <w:p w14:paraId="6ADE5866" w14:textId="77777777" w:rsidR="002E2BCD" w:rsidRPr="002E2BCD" w:rsidRDefault="002E2BCD" w:rsidP="002E2BCD">
      <w:pPr>
        <w:rPr>
          <w:rFonts w:ascii="Arial" w:hAnsi="Arial" w:cs="Tahoma"/>
          <w:color w:val="262626"/>
          <w:sz w:val="20"/>
          <w:szCs w:val="20"/>
          <w:lang w:val="en-US"/>
        </w:rPr>
      </w:pPr>
    </w:p>
    <w:p w14:paraId="6EF21FB0"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lastRenderedPageBreak/>
        <w:t>The person conducting the meeting may conclude that there are insufficient grounds for pursuing the capability issue formally and that it would be more appropriate to continue to address the remaining concerns through the appraisal process or through other informal means. In such cases, the formal capability procedure will come to an end.</w:t>
      </w:r>
    </w:p>
    <w:p w14:paraId="59B68CA9" w14:textId="77777777" w:rsidR="002E2BCD" w:rsidRPr="002E2BCD" w:rsidRDefault="002E2BCD" w:rsidP="002E2BCD">
      <w:pPr>
        <w:rPr>
          <w:rFonts w:ascii="Arial" w:hAnsi="Arial" w:cs="Tahoma"/>
          <w:color w:val="262626"/>
          <w:sz w:val="20"/>
          <w:szCs w:val="20"/>
          <w:lang w:val="en-US"/>
        </w:rPr>
      </w:pPr>
    </w:p>
    <w:p w14:paraId="4B3F149F"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The person conducting the meeting may also adjourn the meeting if appropriate, </w:t>
      </w:r>
      <w:r w:rsidRPr="002E2BCD">
        <w:rPr>
          <w:rFonts w:ascii="Arial" w:hAnsi="Arial" w:cs="Tahoma"/>
          <w:iCs/>
          <w:color w:val="262626"/>
          <w:sz w:val="20"/>
          <w:szCs w:val="20"/>
          <w:lang w:val="en-US"/>
        </w:rPr>
        <w:t>for example if they decide that further investigation is needed, or that more time is</w:t>
      </w:r>
      <w:r w:rsidRPr="002E2BCD">
        <w:rPr>
          <w:rFonts w:ascii="Arial" w:hAnsi="Arial" w:cs="Tahoma"/>
          <w:i/>
          <w:iCs/>
          <w:color w:val="262626"/>
          <w:sz w:val="20"/>
          <w:szCs w:val="20"/>
          <w:lang w:val="en-US"/>
        </w:rPr>
        <w:t xml:space="preserve"> </w:t>
      </w:r>
      <w:r w:rsidRPr="002E2BCD">
        <w:rPr>
          <w:rFonts w:ascii="Arial" w:hAnsi="Arial" w:cs="Tahoma"/>
          <w:iCs/>
          <w:color w:val="262626"/>
          <w:sz w:val="20"/>
          <w:szCs w:val="20"/>
          <w:lang w:val="en-US"/>
        </w:rPr>
        <w:t xml:space="preserve">needed in which to consider any additional information such as new evidence indicating that personal circumstances could be a significant contributory factor. </w:t>
      </w:r>
      <w:r w:rsidRPr="002E2BCD">
        <w:rPr>
          <w:rFonts w:ascii="Arial" w:hAnsi="Arial" w:cs="Tahoma"/>
          <w:color w:val="262626"/>
          <w:sz w:val="20"/>
          <w:szCs w:val="20"/>
          <w:lang w:val="en-US"/>
        </w:rPr>
        <w:t xml:space="preserve">In other cases, the meeting will continue. </w:t>
      </w:r>
    </w:p>
    <w:p w14:paraId="4E0700D0" w14:textId="77777777" w:rsidR="002E2BCD" w:rsidRPr="002E2BCD" w:rsidRDefault="002E2BCD" w:rsidP="002E2BCD">
      <w:pPr>
        <w:rPr>
          <w:rFonts w:ascii="Arial" w:hAnsi="Arial" w:cs="Tahoma"/>
          <w:color w:val="262626"/>
          <w:sz w:val="20"/>
          <w:szCs w:val="20"/>
          <w:lang w:val="en-US"/>
        </w:rPr>
      </w:pPr>
    </w:p>
    <w:p w14:paraId="7DB6F85C"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During the meeting, or any other meeting which could lead to a formal warning being issued, the person conducting the meeting will: </w:t>
      </w:r>
    </w:p>
    <w:p w14:paraId="6F62E897" w14:textId="77777777" w:rsidR="002E2BCD" w:rsidRPr="002E2BCD" w:rsidRDefault="002E2BCD" w:rsidP="002E2BCD">
      <w:pPr>
        <w:rPr>
          <w:rFonts w:ascii="Arial" w:hAnsi="Arial" w:cs="Tahoma"/>
          <w:color w:val="262626"/>
          <w:sz w:val="20"/>
          <w:szCs w:val="20"/>
          <w:lang w:val="en-US"/>
        </w:rPr>
      </w:pPr>
    </w:p>
    <w:p w14:paraId="4081DCC5" w14:textId="77777777" w:rsidR="002E2BCD" w:rsidRPr="002E2BCD" w:rsidRDefault="002E2BCD" w:rsidP="002E2BCD">
      <w:pPr>
        <w:numPr>
          <w:ilvl w:val="0"/>
          <w:numId w:val="28"/>
        </w:numPr>
        <w:rPr>
          <w:rFonts w:ascii="Arial" w:hAnsi="Arial" w:cs="Tahoma"/>
          <w:color w:val="262626"/>
          <w:sz w:val="20"/>
          <w:szCs w:val="20"/>
          <w:lang w:val="en-US"/>
        </w:rPr>
      </w:pPr>
      <w:r w:rsidRPr="002E2BCD">
        <w:rPr>
          <w:rFonts w:ascii="Arial" w:hAnsi="Arial" w:cs="Tahoma"/>
          <w:color w:val="262626"/>
          <w:sz w:val="20"/>
          <w:szCs w:val="20"/>
          <w:lang w:val="en-US"/>
        </w:rPr>
        <w:t xml:space="preserve">Identify the professional shortcomings, </w:t>
      </w:r>
      <w:r w:rsidRPr="002E2BCD">
        <w:rPr>
          <w:rFonts w:ascii="Arial" w:hAnsi="Arial" w:cs="Tahoma"/>
          <w:iCs/>
          <w:color w:val="262626"/>
          <w:sz w:val="20"/>
          <w:szCs w:val="20"/>
          <w:lang w:val="en-US"/>
        </w:rPr>
        <w:t>for example if an employee is not meeting one or more of the relevant professional standards</w:t>
      </w:r>
      <w:r w:rsidRPr="002E2BCD">
        <w:rPr>
          <w:rFonts w:ascii="Arial" w:hAnsi="Arial" w:cs="Tahoma"/>
          <w:color w:val="262626"/>
          <w:sz w:val="20"/>
          <w:szCs w:val="20"/>
          <w:lang w:val="en-US"/>
        </w:rPr>
        <w:t xml:space="preserve">; </w:t>
      </w:r>
    </w:p>
    <w:p w14:paraId="50FF4B68" w14:textId="77777777" w:rsidR="002E2BCD" w:rsidRPr="002E2BCD" w:rsidRDefault="002E2BCD" w:rsidP="002E2BCD">
      <w:pPr>
        <w:rPr>
          <w:rFonts w:ascii="Arial" w:hAnsi="Arial" w:cs="Tahoma"/>
          <w:color w:val="262626"/>
          <w:sz w:val="20"/>
          <w:szCs w:val="20"/>
          <w:lang w:val="en-US"/>
        </w:rPr>
      </w:pPr>
    </w:p>
    <w:p w14:paraId="6CFCA673" w14:textId="77777777" w:rsidR="002E2BCD" w:rsidRPr="002E2BCD" w:rsidRDefault="002E2BCD" w:rsidP="002E2BCD">
      <w:pPr>
        <w:numPr>
          <w:ilvl w:val="0"/>
          <w:numId w:val="28"/>
        </w:numPr>
        <w:rPr>
          <w:rFonts w:ascii="Arial" w:hAnsi="Arial" w:cs="Tahoma"/>
          <w:color w:val="262626"/>
          <w:sz w:val="20"/>
          <w:szCs w:val="20"/>
          <w:lang w:val="en-US"/>
        </w:rPr>
      </w:pPr>
      <w:r w:rsidRPr="002E2BCD">
        <w:rPr>
          <w:rFonts w:ascii="Arial" w:hAnsi="Arial" w:cs="Tahoma"/>
          <w:color w:val="262626"/>
          <w:sz w:val="20"/>
          <w:szCs w:val="20"/>
          <w:lang w:val="en-US"/>
        </w:rPr>
        <w:t>Give clear guidance on the improved standard of performance needed to ensure that the employee can be removed from formal capability procedures (</w:t>
      </w:r>
      <w:r w:rsidRPr="002E2BCD">
        <w:rPr>
          <w:rFonts w:ascii="Arial" w:hAnsi="Arial" w:cs="Tahoma"/>
          <w:iCs/>
          <w:color w:val="262626"/>
          <w:sz w:val="20"/>
          <w:szCs w:val="20"/>
          <w:lang w:val="en-US"/>
        </w:rPr>
        <w:t>this may include a re-focus of the objectives on the specific weaknesses that need to be addressed, any success criteria that might be appropriate and the evidence that will be used to assess whether or not the necessary improvement has been made)</w:t>
      </w:r>
      <w:r w:rsidRPr="002E2BCD">
        <w:rPr>
          <w:rFonts w:ascii="Arial" w:hAnsi="Arial" w:cs="Tahoma"/>
          <w:color w:val="262626"/>
          <w:sz w:val="20"/>
          <w:szCs w:val="20"/>
          <w:lang w:val="en-US"/>
        </w:rPr>
        <w:t>;</w:t>
      </w:r>
    </w:p>
    <w:p w14:paraId="338A8988" w14:textId="77777777" w:rsidR="002E2BCD" w:rsidRPr="002E2BCD" w:rsidRDefault="002E2BCD" w:rsidP="002E2BCD">
      <w:pPr>
        <w:rPr>
          <w:rFonts w:ascii="Arial" w:hAnsi="Arial" w:cs="Tahoma"/>
          <w:color w:val="262626"/>
          <w:sz w:val="20"/>
          <w:szCs w:val="20"/>
          <w:lang w:val="en-US"/>
        </w:rPr>
      </w:pPr>
    </w:p>
    <w:p w14:paraId="64CAF4B4" w14:textId="77777777" w:rsidR="002E2BCD" w:rsidRPr="002E2BCD" w:rsidRDefault="002E2BCD" w:rsidP="002E2BCD">
      <w:pPr>
        <w:numPr>
          <w:ilvl w:val="0"/>
          <w:numId w:val="28"/>
        </w:numPr>
        <w:rPr>
          <w:rFonts w:ascii="Arial" w:hAnsi="Arial" w:cs="Tahoma"/>
          <w:color w:val="262626"/>
          <w:sz w:val="20"/>
          <w:szCs w:val="20"/>
          <w:lang w:val="en-US"/>
        </w:rPr>
      </w:pPr>
      <w:r w:rsidRPr="002E2BCD">
        <w:rPr>
          <w:rFonts w:ascii="Arial" w:hAnsi="Arial" w:cs="Tahoma"/>
          <w:color w:val="262626"/>
          <w:sz w:val="20"/>
          <w:szCs w:val="20"/>
          <w:lang w:val="en-US"/>
        </w:rPr>
        <w:t xml:space="preserve">Explain the support that will be available to help the employee improve their performance; </w:t>
      </w:r>
    </w:p>
    <w:p w14:paraId="591A9679" w14:textId="77777777" w:rsidR="002E2BCD" w:rsidRPr="002E2BCD" w:rsidRDefault="002E2BCD" w:rsidP="002E2BCD">
      <w:pPr>
        <w:rPr>
          <w:rFonts w:ascii="Arial" w:hAnsi="Arial" w:cs="Tahoma"/>
          <w:color w:val="262626"/>
          <w:sz w:val="20"/>
          <w:szCs w:val="20"/>
          <w:lang w:val="en-US"/>
        </w:rPr>
      </w:pPr>
    </w:p>
    <w:p w14:paraId="6C0B8E2D" w14:textId="66B6F2A2" w:rsidR="002E2BCD" w:rsidRPr="002E2BCD" w:rsidRDefault="002E2BCD" w:rsidP="002E2BCD">
      <w:pPr>
        <w:numPr>
          <w:ilvl w:val="0"/>
          <w:numId w:val="28"/>
        </w:numPr>
        <w:rPr>
          <w:rFonts w:ascii="Arial" w:hAnsi="Arial" w:cs="Tahoma"/>
          <w:color w:val="262626"/>
          <w:sz w:val="20"/>
          <w:szCs w:val="20"/>
          <w:lang w:val="en-US"/>
        </w:rPr>
      </w:pPr>
      <w:r w:rsidRPr="002E2BCD">
        <w:rPr>
          <w:rFonts w:ascii="Arial" w:hAnsi="Arial" w:cs="Tahoma"/>
          <w:color w:val="262626"/>
          <w:sz w:val="20"/>
          <w:szCs w:val="20"/>
          <w:lang w:val="en-US"/>
        </w:rPr>
        <w:t>Set out the timetable for improvement and explain how performance will be monitored and reviewed. The timetable will depend on the circumstances of the individual case but in straightforward cases this should be between four and ten weeks. (</w:t>
      </w:r>
      <w:r w:rsidR="00286173">
        <w:rPr>
          <w:rFonts w:ascii="Arial" w:hAnsi="Arial" w:cs="Tahoma"/>
          <w:i/>
          <w:iCs/>
          <w:color w:val="262626"/>
          <w:sz w:val="20"/>
          <w:szCs w:val="20"/>
          <w:lang w:val="en-US"/>
        </w:rPr>
        <w:t>It is for WCYA</w:t>
      </w:r>
      <w:r w:rsidRPr="002E2BCD">
        <w:rPr>
          <w:rFonts w:ascii="Arial" w:hAnsi="Arial" w:cs="Tahoma"/>
          <w:i/>
          <w:iCs/>
          <w:color w:val="262626"/>
          <w:sz w:val="20"/>
          <w:szCs w:val="20"/>
          <w:lang w:val="en-US"/>
        </w:rPr>
        <w:t xml:space="preserve"> to determine the set period. It should be reasonable and proportionate, but not excessively long, and should provide sufficient opportunity for an improvement to take place)</w:t>
      </w:r>
      <w:r w:rsidRPr="002E2BCD">
        <w:rPr>
          <w:rFonts w:ascii="Arial" w:hAnsi="Arial" w:cs="Tahoma"/>
          <w:color w:val="262626"/>
          <w:sz w:val="20"/>
          <w:szCs w:val="20"/>
          <w:lang w:val="en-US"/>
        </w:rPr>
        <w:t>; and</w:t>
      </w:r>
    </w:p>
    <w:p w14:paraId="125A359C" w14:textId="77777777" w:rsidR="002E2BCD" w:rsidRPr="002E2BCD" w:rsidRDefault="002E2BCD" w:rsidP="002E2BCD">
      <w:pPr>
        <w:rPr>
          <w:rFonts w:ascii="Arial" w:hAnsi="Arial" w:cs="Tahoma"/>
          <w:color w:val="262626"/>
          <w:sz w:val="20"/>
          <w:szCs w:val="20"/>
          <w:lang w:val="en-US"/>
        </w:rPr>
      </w:pPr>
    </w:p>
    <w:p w14:paraId="29C74C75" w14:textId="77777777" w:rsidR="002E2BCD" w:rsidRPr="002E2BCD" w:rsidRDefault="002E2BCD" w:rsidP="002E2BCD">
      <w:pPr>
        <w:numPr>
          <w:ilvl w:val="0"/>
          <w:numId w:val="28"/>
        </w:numPr>
        <w:rPr>
          <w:rFonts w:ascii="Arial" w:hAnsi="Arial" w:cs="Tahoma"/>
          <w:color w:val="262626"/>
          <w:sz w:val="20"/>
          <w:szCs w:val="20"/>
          <w:lang w:val="en-US"/>
        </w:rPr>
      </w:pPr>
      <w:r w:rsidRPr="002E2BCD">
        <w:rPr>
          <w:rFonts w:ascii="Arial" w:hAnsi="Arial" w:cs="Tahoma"/>
          <w:color w:val="262626"/>
          <w:sz w:val="20"/>
          <w:szCs w:val="20"/>
          <w:lang w:val="en-US"/>
        </w:rPr>
        <w:t xml:space="preserve">Warn the employee formally that failure to improve within the set period could lead to dismissal. In very serious cases, this warning could be a final written warning. </w:t>
      </w:r>
    </w:p>
    <w:p w14:paraId="5DCCF37A" w14:textId="77777777" w:rsidR="002E2BCD" w:rsidRPr="002E2BCD" w:rsidRDefault="002E2BCD" w:rsidP="002E2BCD">
      <w:pPr>
        <w:rPr>
          <w:rFonts w:ascii="Arial" w:hAnsi="Arial" w:cs="Tahoma"/>
          <w:color w:val="262626"/>
          <w:sz w:val="20"/>
          <w:szCs w:val="20"/>
          <w:lang w:val="en-US"/>
        </w:rPr>
      </w:pPr>
    </w:p>
    <w:p w14:paraId="1AA57A65"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Notes will be taken of formal meetings and a copy sent to the employee, normally within 5 working days. Where a warning is issued, the employee will be informed in writing of the matters covered in the bullet points above and given information about the timing and handling of the review stage and the procedure and time limits for appealing against the warning. </w:t>
      </w:r>
    </w:p>
    <w:p w14:paraId="59553DD2" w14:textId="77777777" w:rsidR="002E2BCD" w:rsidRPr="002E2BCD" w:rsidRDefault="002E2BCD" w:rsidP="002E2BCD">
      <w:pPr>
        <w:rPr>
          <w:rFonts w:ascii="Arial" w:hAnsi="Arial" w:cs="Tahoma"/>
          <w:color w:val="262626"/>
          <w:sz w:val="20"/>
          <w:szCs w:val="20"/>
          <w:lang w:val="en-US"/>
        </w:rPr>
      </w:pPr>
    </w:p>
    <w:p w14:paraId="363185EB"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employee should be provided with a clear, written action plan to confirm the objectives, the support being provided and the arrangements for monitoring, review and success criteria.</w:t>
      </w:r>
    </w:p>
    <w:p w14:paraId="24EB600A" w14:textId="77777777" w:rsidR="002E2BCD" w:rsidRPr="002E2BCD" w:rsidRDefault="002E2BCD" w:rsidP="002E2BCD">
      <w:pPr>
        <w:rPr>
          <w:rFonts w:ascii="Arial" w:hAnsi="Arial" w:cs="Tahoma"/>
          <w:i/>
          <w:color w:val="262626"/>
          <w:sz w:val="20"/>
          <w:szCs w:val="20"/>
          <w:lang w:val="en-US"/>
        </w:rPr>
      </w:pPr>
    </w:p>
    <w:p w14:paraId="74D02709" w14:textId="77777777" w:rsidR="002E2BCD" w:rsidRPr="002E2BCD" w:rsidRDefault="002E2BCD" w:rsidP="002E2BCD">
      <w:pPr>
        <w:rPr>
          <w:rFonts w:ascii="Arial" w:hAnsi="Arial" w:cs="Tahoma"/>
          <w:color w:val="262626"/>
          <w:sz w:val="20"/>
          <w:szCs w:val="20"/>
          <w:lang w:val="en-US"/>
        </w:rPr>
      </w:pPr>
    </w:p>
    <w:p w14:paraId="70768871" w14:textId="77777777" w:rsidR="002E2BCD" w:rsidRPr="002E2BCD" w:rsidRDefault="002E2BCD" w:rsidP="002E2BCD">
      <w:pPr>
        <w:rPr>
          <w:rFonts w:ascii="Arial" w:hAnsi="Arial" w:cs="Arial"/>
          <w:b/>
          <w:color w:val="404040"/>
          <w:sz w:val="20"/>
          <w:szCs w:val="20"/>
          <w:lang w:val="en-US"/>
        </w:rPr>
      </w:pPr>
      <w:r w:rsidRPr="002E2BCD">
        <w:rPr>
          <w:rFonts w:ascii="Arial" w:hAnsi="Arial" w:cs="Arial"/>
          <w:b/>
          <w:color w:val="404040"/>
          <w:sz w:val="20"/>
          <w:szCs w:val="20"/>
          <w:lang w:val="en-US"/>
        </w:rPr>
        <w:t xml:space="preserve">4.2 Monitoring and review period following a formal capability meeting </w:t>
      </w:r>
    </w:p>
    <w:p w14:paraId="0E5D40C7" w14:textId="77777777" w:rsidR="002E2BCD" w:rsidRPr="002E2BCD" w:rsidRDefault="002E2BCD" w:rsidP="002E2BCD">
      <w:pPr>
        <w:rPr>
          <w:rFonts w:ascii="Arial" w:hAnsi="Arial" w:cs="Tahoma"/>
          <w:color w:val="262626"/>
          <w:sz w:val="20"/>
          <w:szCs w:val="20"/>
          <w:lang w:val="en-US"/>
        </w:rPr>
      </w:pPr>
    </w:p>
    <w:p w14:paraId="2A8AD129"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A performance monitoring and review period will follow the formal capability meeting. Formal monitoring, evaluation, guidance and support will continue during this period.</w:t>
      </w:r>
    </w:p>
    <w:p w14:paraId="2A86D495" w14:textId="77777777" w:rsidR="002E2BCD" w:rsidRPr="002E2BCD" w:rsidRDefault="002E2BCD" w:rsidP="002E2BCD">
      <w:pPr>
        <w:rPr>
          <w:rFonts w:ascii="Arial" w:hAnsi="Arial" w:cs="Tahoma"/>
          <w:color w:val="262626"/>
          <w:sz w:val="20"/>
          <w:szCs w:val="20"/>
          <w:lang w:val="en-US"/>
        </w:rPr>
      </w:pPr>
    </w:p>
    <w:p w14:paraId="119624EF"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The employee will be invited to a further formal review meeting, unless they were issued with a final written warning, in which case they will be invited to a decision meeting (see below). </w:t>
      </w:r>
    </w:p>
    <w:p w14:paraId="48139F45" w14:textId="77777777" w:rsidR="002E2BCD" w:rsidRPr="002E2BCD" w:rsidRDefault="002E2BCD" w:rsidP="002E2BCD">
      <w:pPr>
        <w:rPr>
          <w:rFonts w:ascii="Arial" w:hAnsi="Arial" w:cs="Tahoma"/>
          <w:color w:val="262626"/>
          <w:sz w:val="20"/>
          <w:szCs w:val="20"/>
          <w:lang w:val="en-US"/>
        </w:rPr>
      </w:pPr>
    </w:p>
    <w:p w14:paraId="33D1E79E" w14:textId="77777777" w:rsidR="002E2BCD" w:rsidRPr="002E2BCD" w:rsidRDefault="002E2BCD" w:rsidP="002E2BCD">
      <w:pPr>
        <w:rPr>
          <w:rFonts w:ascii="Arial" w:hAnsi="Arial" w:cs="Arial"/>
          <w:b/>
          <w:color w:val="404040"/>
          <w:sz w:val="20"/>
          <w:szCs w:val="20"/>
          <w:lang w:val="en-US"/>
        </w:rPr>
      </w:pPr>
    </w:p>
    <w:p w14:paraId="16AF722A" w14:textId="77777777" w:rsidR="002E2BCD" w:rsidRPr="002E2BCD" w:rsidRDefault="002E2BCD" w:rsidP="002E2BCD">
      <w:pPr>
        <w:rPr>
          <w:rFonts w:ascii="Arial" w:hAnsi="Arial" w:cs="Arial"/>
          <w:b/>
          <w:color w:val="404040"/>
          <w:sz w:val="20"/>
          <w:szCs w:val="20"/>
          <w:lang w:val="en-US"/>
        </w:rPr>
      </w:pPr>
      <w:r w:rsidRPr="002E2BCD">
        <w:rPr>
          <w:rFonts w:ascii="Arial" w:hAnsi="Arial" w:cs="Arial"/>
          <w:b/>
          <w:color w:val="404040"/>
          <w:sz w:val="20"/>
          <w:szCs w:val="20"/>
          <w:lang w:val="en-US"/>
        </w:rPr>
        <w:t xml:space="preserve">4.3 Formal review meeting </w:t>
      </w:r>
    </w:p>
    <w:p w14:paraId="63BB7FF6" w14:textId="77777777" w:rsidR="002E2BCD" w:rsidRPr="002E2BCD" w:rsidRDefault="002E2BCD" w:rsidP="002E2BCD">
      <w:pPr>
        <w:rPr>
          <w:rFonts w:ascii="Arial" w:hAnsi="Arial" w:cs="Tahoma"/>
          <w:color w:val="262626"/>
          <w:sz w:val="20"/>
          <w:szCs w:val="20"/>
          <w:lang w:val="en-US"/>
        </w:rPr>
      </w:pPr>
    </w:p>
    <w:p w14:paraId="2B28DDE1"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As with formal capability meetings, at least five working days’ notice will be given and the notification will give details of the time and place of the meeting and will advise the employee of their right to be accompanied by a workplace colleague or a trade union representative.</w:t>
      </w:r>
    </w:p>
    <w:p w14:paraId="59D4CE96" w14:textId="77777777" w:rsidR="002E2BCD" w:rsidRPr="002E2BCD" w:rsidRDefault="002E2BCD" w:rsidP="002E2BCD">
      <w:pPr>
        <w:rPr>
          <w:rFonts w:ascii="Arial" w:hAnsi="Arial" w:cs="Tahoma"/>
          <w:color w:val="262626"/>
          <w:sz w:val="20"/>
          <w:szCs w:val="20"/>
          <w:lang w:val="en-US"/>
        </w:rPr>
      </w:pPr>
    </w:p>
    <w:p w14:paraId="54064621"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If the person conducting the meeting is satisfied that the employee has made sufficient improvement, the capability procedure will cease and the appraisal process will re-start. It may be necessary to revise appraisal objectives to ensure achievability within the remaining time period.</w:t>
      </w:r>
    </w:p>
    <w:p w14:paraId="0FBD4093" w14:textId="77777777" w:rsidR="002E2BCD" w:rsidRPr="002E2BCD" w:rsidRDefault="002E2BCD" w:rsidP="002E2BCD">
      <w:pPr>
        <w:rPr>
          <w:rFonts w:ascii="Arial" w:hAnsi="Arial" w:cs="Tahoma"/>
          <w:color w:val="262626"/>
          <w:sz w:val="20"/>
          <w:szCs w:val="20"/>
          <w:lang w:val="en-US"/>
        </w:rPr>
      </w:pPr>
    </w:p>
    <w:p w14:paraId="6A63000C"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In other cases: </w:t>
      </w:r>
    </w:p>
    <w:p w14:paraId="7305B27C" w14:textId="77777777" w:rsidR="002E2BCD" w:rsidRPr="002E2BCD" w:rsidRDefault="002E2BCD" w:rsidP="002E2BCD">
      <w:pPr>
        <w:rPr>
          <w:rFonts w:ascii="Arial" w:hAnsi="Arial" w:cs="Tahoma"/>
          <w:color w:val="262626"/>
          <w:sz w:val="20"/>
          <w:szCs w:val="20"/>
          <w:lang w:val="en-US"/>
        </w:rPr>
      </w:pPr>
    </w:p>
    <w:p w14:paraId="3C9D2EFE"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If some progress has been made and there is confidence that more is likely, it may be appropriate to extend the monitoring and review period; </w:t>
      </w:r>
    </w:p>
    <w:p w14:paraId="75208822" w14:textId="77777777" w:rsidR="002E2BCD" w:rsidRPr="002E2BCD" w:rsidRDefault="002E2BCD" w:rsidP="002E2BCD">
      <w:pPr>
        <w:rPr>
          <w:rFonts w:ascii="Arial" w:hAnsi="Arial" w:cs="Tahoma"/>
          <w:color w:val="262626"/>
          <w:sz w:val="20"/>
          <w:szCs w:val="20"/>
          <w:lang w:val="en-US"/>
        </w:rPr>
      </w:pPr>
    </w:p>
    <w:p w14:paraId="7C137397"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If no, or insufficient improvement has been made during the monitoring and review period, the employee will receive a final written warning. </w:t>
      </w:r>
    </w:p>
    <w:p w14:paraId="11464FC9" w14:textId="77777777" w:rsidR="002E2BCD" w:rsidRPr="002E2BCD" w:rsidRDefault="002E2BCD" w:rsidP="002E2BCD">
      <w:pPr>
        <w:rPr>
          <w:rFonts w:ascii="Arial" w:hAnsi="Arial" w:cs="Tahoma"/>
          <w:color w:val="262626"/>
          <w:sz w:val="20"/>
          <w:szCs w:val="20"/>
          <w:lang w:val="en-US"/>
        </w:rPr>
      </w:pPr>
    </w:p>
    <w:p w14:paraId="516F8319"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Notes will be taken of formal meetings and a copy sent to the member of staff. The final written warning will be consistent with any previous warnings that have been issued.</w:t>
      </w:r>
    </w:p>
    <w:p w14:paraId="3E052EF3" w14:textId="77777777" w:rsidR="002E2BCD" w:rsidRPr="002E2BCD" w:rsidRDefault="002E2BCD" w:rsidP="002E2BCD">
      <w:pPr>
        <w:rPr>
          <w:rFonts w:ascii="Arial" w:hAnsi="Arial" w:cs="Tahoma"/>
          <w:color w:val="262626"/>
          <w:sz w:val="20"/>
          <w:szCs w:val="20"/>
          <w:lang w:val="en-US"/>
        </w:rPr>
      </w:pPr>
    </w:p>
    <w:p w14:paraId="67E6E416"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employee will be invited to a decision meeting. </w:t>
      </w:r>
    </w:p>
    <w:p w14:paraId="7E5B7892" w14:textId="77777777" w:rsidR="002E2BCD" w:rsidRPr="002E2BCD" w:rsidRDefault="002E2BCD" w:rsidP="002E2BCD">
      <w:pPr>
        <w:rPr>
          <w:rFonts w:ascii="Arial" w:hAnsi="Arial" w:cs="Tahoma"/>
          <w:color w:val="262626"/>
          <w:sz w:val="20"/>
          <w:szCs w:val="20"/>
          <w:lang w:val="en-US"/>
        </w:rPr>
      </w:pPr>
    </w:p>
    <w:p w14:paraId="162D7293" w14:textId="77777777" w:rsidR="002E2BCD" w:rsidRPr="002E2BCD" w:rsidRDefault="002E2BCD" w:rsidP="002E2BCD">
      <w:pPr>
        <w:rPr>
          <w:rFonts w:ascii="Arial" w:hAnsi="Arial" w:cs="Arial"/>
          <w:b/>
          <w:color w:val="404040"/>
          <w:sz w:val="20"/>
          <w:szCs w:val="20"/>
          <w:lang w:val="en-US"/>
        </w:rPr>
      </w:pPr>
      <w:r w:rsidRPr="002E2BCD">
        <w:rPr>
          <w:rFonts w:ascii="Arial" w:hAnsi="Arial" w:cs="Arial"/>
          <w:b/>
          <w:color w:val="404040"/>
          <w:sz w:val="20"/>
          <w:szCs w:val="20"/>
          <w:lang w:val="en-US"/>
        </w:rPr>
        <w:t xml:space="preserve">4.4 Decision meeting </w:t>
      </w:r>
    </w:p>
    <w:p w14:paraId="68913CDA" w14:textId="77777777" w:rsidR="002E2BCD" w:rsidRPr="002E2BCD" w:rsidRDefault="002E2BCD" w:rsidP="002E2BCD">
      <w:pPr>
        <w:rPr>
          <w:rFonts w:ascii="Arial" w:hAnsi="Arial" w:cs="Tahoma"/>
          <w:color w:val="262626"/>
          <w:sz w:val="20"/>
          <w:szCs w:val="20"/>
          <w:lang w:val="en-US"/>
        </w:rPr>
      </w:pPr>
    </w:p>
    <w:p w14:paraId="26D87407"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As with formal capability meetings and formal review meetings, at least five working days’ notice will be given and the notification will give details of the time and place of the meeting and will advise the employee of their right to be accompanied by a workplace companion who may be a workplace colleague, or a trade union representative.</w:t>
      </w:r>
    </w:p>
    <w:p w14:paraId="58E7FB8C"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If an acceptable standard of performance has been achieved during the further monitoring and review period, the capability procedure will end and the appraisal process will re-start. It may be appropriate to provide a short period of informal monitoring outside of the formal process to ensure that the improved performance is fully embedded.</w:t>
      </w:r>
    </w:p>
    <w:p w14:paraId="56A9FCE1" w14:textId="77777777" w:rsidR="002E2BCD" w:rsidRPr="002E2BCD" w:rsidRDefault="002E2BCD" w:rsidP="002E2BCD">
      <w:pPr>
        <w:rPr>
          <w:rFonts w:ascii="Arial" w:hAnsi="Arial" w:cs="Tahoma"/>
          <w:color w:val="262626"/>
          <w:sz w:val="20"/>
          <w:szCs w:val="20"/>
          <w:lang w:val="en-US"/>
        </w:rPr>
      </w:pPr>
    </w:p>
    <w:p w14:paraId="52572778"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If performance remains unsatisfactory and the evidence is that the employee is unlikely to attain the standard expected within a reasonable timescale then a decision, or recommendation to the Management Committee, will be made that the employee should be dismissed or required to cease working at the school.</w:t>
      </w:r>
    </w:p>
    <w:p w14:paraId="1ECBA3A6" w14:textId="77777777" w:rsidR="002E2BCD" w:rsidRPr="002E2BCD" w:rsidRDefault="002E2BCD" w:rsidP="002E2BCD">
      <w:pPr>
        <w:rPr>
          <w:rFonts w:ascii="Arial" w:hAnsi="Arial" w:cs="Tahoma"/>
          <w:color w:val="262626"/>
          <w:sz w:val="20"/>
          <w:szCs w:val="20"/>
          <w:lang w:val="en-US"/>
        </w:rPr>
      </w:pPr>
    </w:p>
    <w:p w14:paraId="0551CA56" w14:textId="1508C058"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The power </w:t>
      </w:r>
      <w:r w:rsidR="00B341F8">
        <w:rPr>
          <w:rFonts w:ascii="Arial" w:hAnsi="Arial" w:cs="Tahoma"/>
          <w:color w:val="262626"/>
          <w:sz w:val="20"/>
          <w:szCs w:val="20"/>
          <w:lang w:val="en-US"/>
        </w:rPr>
        <w:t xml:space="preserve">to dismiss staff at WCYA </w:t>
      </w:r>
      <w:r w:rsidRPr="002E2BCD">
        <w:rPr>
          <w:rFonts w:ascii="Arial" w:hAnsi="Arial" w:cs="Tahoma"/>
          <w:color w:val="262626"/>
          <w:sz w:val="20"/>
          <w:szCs w:val="20"/>
          <w:lang w:val="en-US"/>
        </w:rPr>
        <w:t>res</w:t>
      </w:r>
      <w:r w:rsidR="00B2679A">
        <w:rPr>
          <w:rFonts w:ascii="Arial" w:hAnsi="Arial" w:cs="Tahoma"/>
          <w:color w:val="262626"/>
          <w:sz w:val="20"/>
          <w:szCs w:val="20"/>
          <w:lang w:val="en-US"/>
        </w:rPr>
        <w:t>ts with the Managing Director.</w:t>
      </w:r>
      <w:r w:rsidRPr="002E2BCD">
        <w:rPr>
          <w:rFonts w:ascii="Arial" w:hAnsi="Arial" w:cs="Tahoma"/>
          <w:color w:val="262626"/>
          <w:sz w:val="20"/>
          <w:szCs w:val="20"/>
          <w:lang w:val="en-US"/>
        </w:rPr>
        <w:t xml:space="preserve"> </w:t>
      </w:r>
    </w:p>
    <w:p w14:paraId="2DCBED1B" w14:textId="77777777" w:rsidR="002E2BCD" w:rsidRPr="002E2BCD" w:rsidRDefault="002E2BCD" w:rsidP="002E2BCD">
      <w:pPr>
        <w:rPr>
          <w:rFonts w:ascii="Arial" w:hAnsi="Arial" w:cs="Tahoma"/>
          <w:color w:val="262626"/>
          <w:sz w:val="20"/>
          <w:szCs w:val="20"/>
          <w:lang w:val="en-US"/>
        </w:rPr>
      </w:pPr>
    </w:p>
    <w:p w14:paraId="0353F091" w14:textId="1609143F" w:rsidR="002E2BCD" w:rsidRPr="002E2BCD" w:rsidRDefault="002E2BCD" w:rsidP="002E2BCD">
      <w:pPr>
        <w:rPr>
          <w:rFonts w:ascii="Arial" w:hAnsi="Arial" w:cs="Tahoma"/>
          <w:i/>
          <w:iCs/>
          <w:color w:val="262626"/>
          <w:sz w:val="20"/>
          <w:szCs w:val="20"/>
          <w:lang w:val="en-US"/>
        </w:rPr>
      </w:pPr>
      <w:r w:rsidRPr="002E2BCD">
        <w:rPr>
          <w:rFonts w:ascii="Arial" w:hAnsi="Arial" w:cs="Tahoma"/>
          <w:color w:val="262626"/>
          <w:sz w:val="20"/>
          <w:szCs w:val="20"/>
          <w:lang w:val="en-US"/>
        </w:rPr>
        <w:t>Before the decision to dismiss is made, the school will discuss the matter w</w:t>
      </w:r>
      <w:r w:rsidR="00B2679A">
        <w:rPr>
          <w:rFonts w:ascii="Arial" w:hAnsi="Arial" w:cs="Tahoma"/>
          <w:color w:val="262626"/>
          <w:sz w:val="20"/>
          <w:szCs w:val="20"/>
          <w:lang w:val="en-US"/>
        </w:rPr>
        <w:t>ith the CIC Board</w:t>
      </w:r>
      <w:r w:rsidRPr="002E2BCD">
        <w:rPr>
          <w:rFonts w:ascii="Arial" w:hAnsi="Arial" w:cs="Tahoma"/>
          <w:color w:val="262626"/>
          <w:sz w:val="20"/>
          <w:szCs w:val="20"/>
          <w:lang w:val="en-US"/>
        </w:rPr>
        <w:t xml:space="preserve"> </w:t>
      </w:r>
      <w:r w:rsidRPr="002E2BCD">
        <w:rPr>
          <w:rFonts w:ascii="Arial" w:hAnsi="Arial" w:cs="Tahoma"/>
          <w:i/>
          <w:iCs/>
          <w:color w:val="262626"/>
          <w:sz w:val="20"/>
          <w:szCs w:val="20"/>
          <w:lang w:val="en-US"/>
        </w:rPr>
        <w:t xml:space="preserve">(N.B. this is not a </w:t>
      </w:r>
      <w:r w:rsidR="00B2679A">
        <w:rPr>
          <w:rFonts w:ascii="Arial" w:hAnsi="Arial" w:cs="Tahoma"/>
          <w:i/>
          <w:iCs/>
          <w:color w:val="262626"/>
          <w:sz w:val="20"/>
          <w:szCs w:val="20"/>
          <w:lang w:val="en-US"/>
        </w:rPr>
        <w:t>legal requirement but WCYA</w:t>
      </w:r>
      <w:r w:rsidRPr="002E2BCD">
        <w:rPr>
          <w:rFonts w:ascii="Arial" w:hAnsi="Arial" w:cs="Tahoma"/>
          <w:i/>
          <w:iCs/>
          <w:color w:val="262626"/>
          <w:sz w:val="20"/>
          <w:szCs w:val="20"/>
          <w:lang w:val="en-US"/>
        </w:rPr>
        <w:t xml:space="preserve"> may find it helpful).</w:t>
      </w:r>
    </w:p>
    <w:p w14:paraId="4640904A" w14:textId="77777777" w:rsidR="002E2BCD" w:rsidRPr="002E2BCD" w:rsidRDefault="002E2BCD" w:rsidP="002E2BCD">
      <w:pPr>
        <w:rPr>
          <w:rFonts w:ascii="Arial" w:hAnsi="Arial" w:cs="Tahoma"/>
          <w:color w:val="262626"/>
          <w:sz w:val="20"/>
          <w:szCs w:val="20"/>
          <w:lang w:val="en-US"/>
        </w:rPr>
      </w:pPr>
    </w:p>
    <w:p w14:paraId="35EC47C5"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 xml:space="preserve">The employee will be informed as soon as possible in writing within five working days of the decision meeting of the reasons for the dismissal, the date on which the employment contract will end, the appropriate period of notice and their right of appeal. </w:t>
      </w:r>
    </w:p>
    <w:p w14:paraId="00704D27" w14:textId="77777777" w:rsidR="002E2BCD" w:rsidRPr="002E2BCD" w:rsidRDefault="002E2BCD" w:rsidP="002E2BCD">
      <w:pPr>
        <w:rPr>
          <w:rFonts w:ascii="Arial" w:hAnsi="Arial" w:cs="Tahoma"/>
          <w:color w:val="262626"/>
          <w:sz w:val="20"/>
          <w:szCs w:val="20"/>
          <w:lang w:val="en-US"/>
        </w:rPr>
      </w:pPr>
    </w:p>
    <w:p w14:paraId="6F4C76B4" w14:textId="77777777" w:rsidR="002E2BCD" w:rsidRPr="002E2BCD" w:rsidRDefault="002E2BCD" w:rsidP="002E2BCD">
      <w:pPr>
        <w:rPr>
          <w:rFonts w:ascii="Arial" w:hAnsi="Arial" w:cs="Arial"/>
          <w:b/>
          <w:color w:val="404040"/>
          <w:sz w:val="20"/>
          <w:szCs w:val="20"/>
          <w:lang w:val="en-US"/>
        </w:rPr>
      </w:pPr>
      <w:r w:rsidRPr="002E2BCD">
        <w:rPr>
          <w:rFonts w:ascii="Arial" w:hAnsi="Arial" w:cs="Arial"/>
          <w:b/>
          <w:color w:val="404040"/>
          <w:sz w:val="20"/>
          <w:szCs w:val="20"/>
          <w:lang w:val="en-US"/>
        </w:rPr>
        <w:t>4.5 Appeal</w:t>
      </w:r>
      <w:bookmarkStart w:id="0" w:name="_GoBack"/>
      <w:bookmarkEnd w:id="0"/>
    </w:p>
    <w:p w14:paraId="6372D7AB" w14:textId="77777777" w:rsidR="002E2BCD" w:rsidRPr="002E2BCD" w:rsidRDefault="002E2BCD" w:rsidP="002E2BCD">
      <w:pPr>
        <w:rPr>
          <w:rFonts w:ascii="Arial" w:hAnsi="Arial" w:cs="Tahoma"/>
          <w:color w:val="262626"/>
          <w:sz w:val="20"/>
          <w:szCs w:val="20"/>
          <w:lang w:val="en-US"/>
        </w:rPr>
      </w:pPr>
    </w:p>
    <w:p w14:paraId="47C89F4D"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If an employee feels that a decision to dismiss them, or other action taken against them</w:t>
      </w:r>
      <w:r w:rsidRPr="002E2BCD">
        <w:rPr>
          <w:rFonts w:ascii="Arial" w:hAnsi="Arial" w:cs="Tahoma"/>
          <w:i/>
          <w:iCs/>
          <w:color w:val="262626"/>
          <w:sz w:val="20"/>
          <w:szCs w:val="20"/>
          <w:lang w:val="en-US"/>
        </w:rPr>
        <w:t xml:space="preserve">, </w:t>
      </w:r>
      <w:r w:rsidRPr="002E2BCD">
        <w:rPr>
          <w:rFonts w:ascii="Arial" w:hAnsi="Arial" w:cs="Tahoma"/>
          <w:color w:val="262626"/>
          <w:sz w:val="20"/>
          <w:szCs w:val="20"/>
          <w:lang w:val="en-US"/>
        </w:rPr>
        <w:t xml:space="preserve">is wrong or unjust, they may appeal in writing against the decision within five working days of the receipt of the decision letter, setting out at the same time the grounds for appeal. </w:t>
      </w:r>
    </w:p>
    <w:p w14:paraId="76942130" w14:textId="77777777" w:rsidR="002E2BCD" w:rsidRPr="002E2BCD" w:rsidRDefault="002E2BCD" w:rsidP="002E2BCD">
      <w:pPr>
        <w:rPr>
          <w:rFonts w:ascii="Arial" w:hAnsi="Arial" w:cs="Tahoma"/>
          <w:color w:val="262626"/>
          <w:sz w:val="20"/>
          <w:szCs w:val="20"/>
          <w:lang w:val="en-US"/>
        </w:rPr>
      </w:pPr>
    </w:p>
    <w:p w14:paraId="2BCA34EF"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Appeals will be heard without unreasonable delay, usually within ten working days of receipt of appeal notice and, where possible, at an agreed time and place. The same arrangements for notification and right to be accompanied by a workplace colleague or a trade union representative will apply as with formal capability and review meetings and, as with other formal meetings, notes will be taken and a copy sent to the employee.</w:t>
      </w:r>
    </w:p>
    <w:p w14:paraId="075D9077" w14:textId="77777777" w:rsidR="002E2BCD" w:rsidRPr="002E2BCD" w:rsidRDefault="002E2BCD" w:rsidP="002E2BCD">
      <w:pPr>
        <w:rPr>
          <w:rFonts w:ascii="Arial" w:hAnsi="Arial" w:cs="Tahoma"/>
          <w:color w:val="262626"/>
          <w:sz w:val="20"/>
          <w:szCs w:val="20"/>
          <w:lang w:val="en-US"/>
        </w:rPr>
      </w:pPr>
    </w:p>
    <w:p w14:paraId="2B7BDE54" w14:textId="5B744D61"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appeal will be dealt with impartially and, wherever possible, by managers or members</w:t>
      </w:r>
      <w:r w:rsidR="00B2679A">
        <w:rPr>
          <w:rFonts w:ascii="Arial" w:hAnsi="Arial" w:cs="Tahoma"/>
          <w:color w:val="262626"/>
          <w:sz w:val="20"/>
          <w:szCs w:val="20"/>
          <w:lang w:val="en-US"/>
        </w:rPr>
        <w:t xml:space="preserve"> of the CIC Board</w:t>
      </w:r>
      <w:r w:rsidRPr="002E2BCD">
        <w:rPr>
          <w:rFonts w:ascii="Arial" w:hAnsi="Arial" w:cs="Tahoma"/>
          <w:color w:val="262626"/>
          <w:sz w:val="20"/>
          <w:szCs w:val="20"/>
          <w:lang w:val="en-US"/>
        </w:rPr>
        <w:t xml:space="preserve"> who have not previously been involved in the case.</w:t>
      </w:r>
    </w:p>
    <w:p w14:paraId="4A0CFFBA" w14:textId="77777777" w:rsidR="002E2BCD" w:rsidRPr="002E2BCD" w:rsidRDefault="002E2BCD" w:rsidP="002E2BCD">
      <w:pPr>
        <w:rPr>
          <w:rFonts w:ascii="Arial" w:hAnsi="Arial" w:cs="Tahoma"/>
          <w:color w:val="262626"/>
          <w:sz w:val="20"/>
          <w:szCs w:val="20"/>
          <w:lang w:val="en-US"/>
        </w:rPr>
      </w:pPr>
    </w:p>
    <w:p w14:paraId="6FBB59C9" w14:textId="77777777" w:rsidR="002E2BCD" w:rsidRPr="002E2BCD" w:rsidRDefault="002E2BCD" w:rsidP="002E2BCD">
      <w:pPr>
        <w:rPr>
          <w:rFonts w:ascii="Arial" w:hAnsi="Arial" w:cs="Tahoma"/>
          <w:color w:val="262626"/>
          <w:sz w:val="20"/>
          <w:szCs w:val="20"/>
          <w:lang w:val="en-US"/>
        </w:rPr>
      </w:pPr>
      <w:r w:rsidRPr="002E2BCD">
        <w:rPr>
          <w:rFonts w:ascii="Arial" w:hAnsi="Arial" w:cs="Tahoma"/>
          <w:color w:val="262626"/>
          <w:sz w:val="20"/>
          <w:szCs w:val="20"/>
          <w:lang w:val="en-US"/>
        </w:rPr>
        <w:t>The employee will be informed in writing of the results of the appeal hearing as soon as possible and unless there are exceptional circumstances this will be within five working days.</w:t>
      </w:r>
    </w:p>
    <w:p w14:paraId="01705E59" w14:textId="77777777" w:rsidR="002E2BCD" w:rsidRPr="002E2BCD" w:rsidRDefault="002E2BCD" w:rsidP="002E2BCD">
      <w:pPr>
        <w:rPr>
          <w:rFonts w:ascii="Arial" w:hAnsi="Arial" w:cs="Tahoma"/>
          <w:color w:val="262626"/>
          <w:sz w:val="20"/>
          <w:szCs w:val="20"/>
          <w:lang w:val="en-US"/>
        </w:rPr>
      </w:pPr>
    </w:p>
    <w:p w14:paraId="2345C879" w14:textId="17C96E96" w:rsidR="00A40BD5" w:rsidRDefault="002E2BCD" w:rsidP="00B2679A">
      <w:pPr>
        <w:rPr>
          <w:rFonts w:asciiTheme="minorHAnsi" w:hAnsiTheme="minorHAnsi" w:cstheme="minorHAnsi"/>
          <w:b/>
        </w:rPr>
      </w:pPr>
      <w:r w:rsidRPr="002E2BCD">
        <w:rPr>
          <w:rFonts w:ascii="Arial" w:hAnsi="Arial" w:cs="Tahoma"/>
          <w:color w:val="262626"/>
          <w:sz w:val="20"/>
          <w:szCs w:val="20"/>
          <w:lang w:val="en-US"/>
        </w:rPr>
        <w:t>In the event the employee does appeal against a warning the arrangements, preparation and hearing of the appeal will not interrupt the timescales and/or capability process unless the appeal decision leads to the matter being reconsidered.</w:t>
      </w:r>
    </w:p>
    <w:sectPr w:rsidR="00A40BD5" w:rsidSect="00C9485B">
      <w:headerReference w:type="default" r:id="rId8"/>
      <w:footnotePr>
        <w:pos w:val="beneathText"/>
      </w:footnotePr>
      <w:pgSz w:w="11905" w:h="16837"/>
      <w:pgMar w:top="937" w:right="565" w:bottom="956" w:left="720" w:header="709"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79E1" w14:textId="77777777" w:rsidR="00BC310B" w:rsidRDefault="00BC310B">
      <w:r>
        <w:separator/>
      </w:r>
    </w:p>
  </w:endnote>
  <w:endnote w:type="continuationSeparator" w:id="0">
    <w:p w14:paraId="73ACCEBB" w14:textId="77777777" w:rsidR="00BC310B" w:rsidRDefault="00B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0F62" w14:textId="77777777" w:rsidR="00BC310B" w:rsidRDefault="00BC310B">
      <w:r>
        <w:separator/>
      </w:r>
    </w:p>
  </w:footnote>
  <w:footnote w:type="continuationSeparator" w:id="0">
    <w:p w14:paraId="5E971BFB" w14:textId="77777777" w:rsidR="00BC310B" w:rsidRDefault="00BC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F753" w14:textId="77777777" w:rsidR="00A206DC" w:rsidRDefault="00A206DC"/>
  <w:tbl>
    <w:tblPr>
      <w:tblpPr w:leftFromText="180" w:rightFromText="180" w:vertAnchor="text" w:horzAnchor="margin" w:tblpXSpec="center" w:tblpY="69"/>
      <w:tblW w:w="10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6378"/>
      <w:gridCol w:w="2124"/>
    </w:tblGrid>
    <w:tr w:rsidR="00A206DC" w14:paraId="2B8E07AC" w14:textId="77777777" w:rsidTr="00370520">
      <w:trPr>
        <w:cantSplit/>
        <w:trHeight w:hRule="exact" w:val="1139"/>
      </w:trPr>
      <w:tc>
        <w:tcPr>
          <w:tcW w:w="2112" w:type="dxa"/>
          <w:vAlign w:val="center"/>
        </w:tcPr>
        <w:p w14:paraId="56F025F5" w14:textId="59489A4E" w:rsidR="00A206DC" w:rsidRPr="00AA4C09" w:rsidRDefault="00FA1939" w:rsidP="00FA7C11">
          <w:pPr>
            <w:jc w:val="center"/>
            <w:rPr>
              <w:rFonts w:ascii="Arial" w:hAnsi="Arial" w:cs="Arial"/>
              <w:sz w:val="28"/>
              <w:szCs w:val="28"/>
            </w:rPr>
          </w:pPr>
          <w:r w:rsidRPr="000E7501">
            <w:rPr>
              <w:noProof/>
              <w:lang w:eastAsia="en-GB"/>
            </w:rPr>
            <w:drawing>
              <wp:anchor distT="0" distB="0" distL="114300" distR="114300" simplePos="0" relativeHeight="251659264" behindDoc="0" locked="0" layoutInCell="1" allowOverlap="1" wp14:anchorId="51548A8F" wp14:editId="47E5D7AF">
                <wp:simplePos x="0" y="0"/>
                <wp:positionH relativeFrom="column">
                  <wp:posOffset>-878205</wp:posOffset>
                </wp:positionH>
                <wp:positionV relativeFrom="paragraph">
                  <wp:posOffset>-3810</wp:posOffset>
                </wp:positionV>
                <wp:extent cx="762000" cy="6845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84530"/>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vAlign w:val="center"/>
        </w:tcPr>
        <w:p w14:paraId="55ED1D1E" w14:textId="0EE62B10" w:rsidR="00A206DC" w:rsidRPr="00AA4658" w:rsidRDefault="002E2BCD" w:rsidP="00CC20C3">
          <w:pPr>
            <w:jc w:val="center"/>
            <w:rPr>
              <w:rFonts w:asciiTheme="minorHAnsi" w:hAnsiTheme="minorHAnsi" w:cs="Arial"/>
              <w:b/>
              <w:caps/>
              <w:sz w:val="28"/>
              <w:szCs w:val="28"/>
            </w:rPr>
          </w:pPr>
          <w:r>
            <w:rPr>
              <w:rFonts w:asciiTheme="minorHAnsi" w:hAnsiTheme="minorHAnsi" w:cs="Arial"/>
              <w:b/>
              <w:caps/>
              <w:sz w:val="28"/>
              <w:szCs w:val="28"/>
            </w:rPr>
            <w:t>Capability of staff</w:t>
          </w:r>
          <w:r w:rsidR="00A206DC" w:rsidRPr="00AA4658">
            <w:rPr>
              <w:rFonts w:asciiTheme="minorHAnsi" w:hAnsiTheme="minorHAnsi" w:cs="Arial"/>
              <w:b/>
              <w:caps/>
              <w:sz w:val="28"/>
              <w:szCs w:val="28"/>
            </w:rPr>
            <w:t xml:space="preserve"> POLICY </w:t>
          </w:r>
        </w:p>
      </w:tc>
      <w:tc>
        <w:tcPr>
          <w:tcW w:w="2124" w:type="dxa"/>
        </w:tcPr>
        <w:p w14:paraId="0482DE12" w14:textId="5790311C" w:rsidR="00A206DC" w:rsidRDefault="00FA1939" w:rsidP="00FA1939">
          <w:pPr>
            <w:spacing w:before="120" w:after="120"/>
            <w:ind w:firstLine="720"/>
            <w:rPr>
              <w:b/>
            </w:rPr>
          </w:pPr>
          <w:r w:rsidRPr="000E7501">
            <w:rPr>
              <w:noProof/>
              <w:lang w:eastAsia="en-GB"/>
            </w:rPr>
            <w:drawing>
              <wp:anchor distT="0" distB="0" distL="114300" distR="114300" simplePos="0" relativeHeight="251660288" behindDoc="0" locked="0" layoutInCell="1" allowOverlap="1" wp14:anchorId="51B8E586" wp14:editId="7607ED73">
                <wp:simplePos x="0" y="0"/>
                <wp:positionH relativeFrom="column">
                  <wp:posOffset>482600</wp:posOffset>
                </wp:positionH>
                <wp:positionV relativeFrom="paragraph">
                  <wp:posOffset>152</wp:posOffset>
                </wp:positionV>
                <wp:extent cx="788204" cy="70866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204" cy="708660"/>
                        </a:xfrm>
                        <a:prstGeom prst="rect">
                          <a:avLst/>
                        </a:prstGeom>
                      </pic:spPr>
                    </pic:pic>
                  </a:graphicData>
                </a:graphic>
              </wp:anchor>
            </w:drawing>
          </w:r>
        </w:p>
      </w:tc>
    </w:tr>
  </w:tbl>
  <w:p w14:paraId="02C90EA1" w14:textId="77777777" w:rsidR="00A206DC" w:rsidRDefault="00A2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5E"/>
    <w:multiLevelType w:val="hybridMultilevel"/>
    <w:tmpl w:val="6646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6293"/>
    <w:multiLevelType w:val="hybridMultilevel"/>
    <w:tmpl w:val="C34A757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425222"/>
    <w:multiLevelType w:val="hybridMultilevel"/>
    <w:tmpl w:val="53126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87BBD"/>
    <w:multiLevelType w:val="hybridMultilevel"/>
    <w:tmpl w:val="B758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C33A5"/>
    <w:multiLevelType w:val="hybridMultilevel"/>
    <w:tmpl w:val="17C0A0E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01012E"/>
    <w:multiLevelType w:val="hybridMultilevel"/>
    <w:tmpl w:val="F334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56577"/>
    <w:multiLevelType w:val="hybridMultilevel"/>
    <w:tmpl w:val="970E9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05C42"/>
    <w:multiLevelType w:val="hybridMultilevel"/>
    <w:tmpl w:val="5A6416FE"/>
    <w:lvl w:ilvl="0" w:tplc="059211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A808F5"/>
    <w:multiLevelType w:val="hybridMultilevel"/>
    <w:tmpl w:val="ECA6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E0EA8"/>
    <w:multiLevelType w:val="hybridMultilevel"/>
    <w:tmpl w:val="0A66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9639E"/>
    <w:multiLevelType w:val="hybridMultilevel"/>
    <w:tmpl w:val="F8F0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A67BC"/>
    <w:multiLevelType w:val="hybridMultilevel"/>
    <w:tmpl w:val="C2FA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03240"/>
    <w:multiLevelType w:val="hybridMultilevel"/>
    <w:tmpl w:val="9F38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33C3B"/>
    <w:multiLevelType w:val="hybridMultilevel"/>
    <w:tmpl w:val="0C7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A0761"/>
    <w:multiLevelType w:val="hybridMultilevel"/>
    <w:tmpl w:val="E53E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25E1D"/>
    <w:multiLevelType w:val="hybridMultilevel"/>
    <w:tmpl w:val="B986B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871A5"/>
    <w:multiLevelType w:val="hybridMultilevel"/>
    <w:tmpl w:val="B0B8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F0455"/>
    <w:multiLevelType w:val="hybridMultilevel"/>
    <w:tmpl w:val="6F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7137F"/>
    <w:multiLevelType w:val="hybridMultilevel"/>
    <w:tmpl w:val="5A028A7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6A814A8"/>
    <w:multiLevelType w:val="hybridMultilevel"/>
    <w:tmpl w:val="DF2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B199C"/>
    <w:multiLevelType w:val="hybridMultilevel"/>
    <w:tmpl w:val="33B8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17FE1"/>
    <w:multiLevelType w:val="hybridMultilevel"/>
    <w:tmpl w:val="50A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9E2E6E"/>
    <w:multiLevelType w:val="hybridMultilevel"/>
    <w:tmpl w:val="DDFE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84738"/>
    <w:multiLevelType w:val="hybridMultilevel"/>
    <w:tmpl w:val="D50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A1B7C"/>
    <w:multiLevelType w:val="hybridMultilevel"/>
    <w:tmpl w:val="5560D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C7CBB"/>
    <w:multiLevelType w:val="hybridMultilevel"/>
    <w:tmpl w:val="96C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938A8"/>
    <w:multiLevelType w:val="hybridMultilevel"/>
    <w:tmpl w:val="C736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FA0E7F"/>
    <w:multiLevelType w:val="hybridMultilevel"/>
    <w:tmpl w:val="2944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24"/>
  </w:num>
  <w:num w:numId="5">
    <w:abstractNumId w:val="20"/>
  </w:num>
  <w:num w:numId="6">
    <w:abstractNumId w:val="2"/>
  </w:num>
  <w:num w:numId="7">
    <w:abstractNumId w:val="14"/>
  </w:num>
  <w:num w:numId="8">
    <w:abstractNumId w:val="0"/>
  </w:num>
  <w:num w:numId="9">
    <w:abstractNumId w:val="9"/>
  </w:num>
  <w:num w:numId="10">
    <w:abstractNumId w:val="3"/>
  </w:num>
  <w:num w:numId="11">
    <w:abstractNumId w:val="16"/>
  </w:num>
  <w:num w:numId="12">
    <w:abstractNumId w:val="22"/>
  </w:num>
  <w:num w:numId="13">
    <w:abstractNumId w:val="5"/>
  </w:num>
  <w:num w:numId="14">
    <w:abstractNumId w:val="21"/>
  </w:num>
  <w:num w:numId="15">
    <w:abstractNumId w:val="25"/>
  </w:num>
  <w:num w:numId="16">
    <w:abstractNumId w:val="15"/>
  </w:num>
  <w:num w:numId="17">
    <w:abstractNumId w:val="6"/>
  </w:num>
  <w:num w:numId="18">
    <w:abstractNumId w:val="17"/>
  </w:num>
  <w:num w:numId="19">
    <w:abstractNumId w:val="26"/>
  </w:num>
  <w:num w:numId="20">
    <w:abstractNumId w:val="13"/>
  </w:num>
  <w:num w:numId="21">
    <w:abstractNumId w:val="10"/>
  </w:num>
  <w:num w:numId="22">
    <w:abstractNumId w:val="23"/>
  </w:num>
  <w:num w:numId="23">
    <w:abstractNumId w:val="27"/>
  </w:num>
  <w:num w:numId="24">
    <w:abstractNumId w:val="19"/>
  </w:num>
  <w:num w:numId="25">
    <w:abstractNumId w:val="11"/>
  </w:num>
  <w:num w:numId="26">
    <w:abstractNumId w:val="18"/>
  </w:num>
  <w:num w:numId="27">
    <w:abstractNumId w:val="4"/>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614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A1"/>
    <w:rsid w:val="00001026"/>
    <w:rsid w:val="00003358"/>
    <w:rsid w:val="00010653"/>
    <w:rsid w:val="000112E9"/>
    <w:rsid w:val="0001368D"/>
    <w:rsid w:val="00020587"/>
    <w:rsid w:val="00026855"/>
    <w:rsid w:val="0002753F"/>
    <w:rsid w:val="00030AF6"/>
    <w:rsid w:val="00030B3F"/>
    <w:rsid w:val="00033777"/>
    <w:rsid w:val="0003441D"/>
    <w:rsid w:val="00037B65"/>
    <w:rsid w:val="000419FD"/>
    <w:rsid w:val="00043C55"/>
    <w:rsid w:val="00050021"/>
    <w:rsid w:val="00050C95"/>
    <w:rsid w:val="000516CF"/>
    <w:rsid w:val="0005223D"/>
    <w:rsid w:val="00055352"/>
    <w:rsid w:val="00056EAF"/>
    <w:rsid w:val="000637EE"/>
    <w:rsid w:val="000653A3"/>
    <w:rsid w:val="0006723D"/>
    <w:rsid w:val="00077AA2"/>
    <w:rsid w:val="000847E7"/>
    <w:rsid w:val="0009018C"/>
    <w:rsid w:val="00090587"/>
    <w:rsid w:val="000933CE"/>
    <w:rsid w:val="000A6E67"/>
    <w:rsid w:val="000B54A6"/>
    <w:rsid w:val="000C1DBF"/>
    <w:rsid w:val="000C2530"/>
    <w:rsid w:val="000C7B0B"/>
    <w:rsid w:val="000D1A34"/>
    <w:rsid w:val="000D4BE8"/>
    <w:rsid w:val="000E2457"/>
    <w:rsid w:val="000E6D64"/>
    <w:rsid w:val="000F3E0E"/>
    <w:rsid w:val="0010133B"/>
    <w:rsid w:val="0011235C"/>
    <w:rsid w:val="00112A40"/>
    <w:rsid w:val="00112DD8"/>
    <w:rsid w:val="00116FC3"/>
    <w:rsid w:val="001220CB"/>
    <w:rsid w:val="00125EFB"/>
    <w:rsid w:val="00126BD7"/>
    <w:rsid w:val="00126FB3"/>
    <w:rsid w:val="00133031"/>
    <w:rsid w:val="00134109"/>
    <w:rsid w:val="00134C3D"/>
    <w:rsid w:val="00141DD1"/>
    <w:rsid w:val="001457F3"/>
    <w:rsid w:val="00146B72"/>
    <w:rsid w:val="00151C4B"/>
    <w:rsid w:val="001523FD"/>
    <w:rsid w:val="00154538"/>
    <w:rsid w:val="0015634B"/>
    <w:rsid w:val="001706B8"/>
    <w:rsid w:val="001719FD"/>
    <w:rsid w:val="00175933"/>
    <w:rsid w:val="00177E13"/>
    <w:rsid w:val="0018496F"/>
    <w:rsid w:val="001856E4"/>
    <w:rsid w:val="00187108"/>
    <w:rsid w:val="00194B01"/>
    <w:rsid w:val="001A30E5"/>
    <w:rsid w:val="001A3A2B"/>
    <w:rsid w:val="001A51AC"/>
    <w:rsid w:val="001A6967"/>
    <w:rsid w:val="001B290F"/>
    <w:rsid w:val="001B6831"/>
    <w:rsid w:val="001C15C6"/>
    <w:rsid w:val="001C1E05"/>
    <w:rsid w:val="001C2C9C"/>
    <w:rsid w:val="001C38D1"/>
    <w:rsid w:val="001C526B"/>
    <w:rsid w:val="001E076F"/>
    <w:rsid w:val="001E4B75"/>
    <w:rsid w:val="001E5DAF"/>
    <w:rsid w:val="001E6450"/>
    <w:rsid w:val="001E69C9"/>
    <w:rsid w:val="001E773D"/>
    <w:rsid w:val="001F195C"/>
    <w:rsid w:val="001F1E73"/>
    <w:rsid w:val="00202C57"/>
    <w:rsid w:val="00207F25"/>
    <w:rsid w:val="00215802"/>
    <w:rsid w:val="00215C3F"/>
    <w:rsid w:val="002219EB"/>
    <w:rsid w:val="00221A25"/>
    <w:rsid w:val="00221FA3"/>
    <w:rsid w:val="002231AF"/>
    <w:rsid w:val="00225B5A"/>
    <w:rsid w:val="00227DCB"/>
    <w:rsid w:val="00233B38"/>
    <w:rsid w:val="002401F8"/>
    <w:rsid w:val="0025384F"/>
    <w:rsid w:val="00255D83"/>
    <w:rsid w:val="0025681B"/>
    <w:rsid w:val="002663BE"/>
    <w:rsid w:val="00266F07"/>
    <w:rsid w:val="00270738"/>
    <w:rsid w:val="00270B59"/>
    <w:rsid w:val="00272508"/>
    <w:rsid w:val="002727E5"/>
    <w:rsid w:val="002815D5"/>
    <w:rsid w:val="00283365"/>
    <w:rsid w:val="00285726"/>
    <w:rsid w:val="00286173"/>
    <w:rsid w:val="002867CD"/>
    <w:rsid w:val="00290B4B"/>
    <w:rsid w:val="00292DFA"/>
    <w:rsid w:val="002937A8"/>
    <w:rsid w:val="00294FB2"/>
    <w:rsid w:val="002B23E5"/>
    <w:rsid w:val="002B3EB1"/>
    <w:rsid w:val="002B551F"/>
    <w:rsid w:val="002B6F62"/>
    <w:rsid w:val="002B753A"/>
    <w:rsid w:val="002C130B"/>
    <w:rsid w:val="002D0545"/>
    <w:rsid w:val="002D1148"/>
    <w:rsid w:val="002D11EE"/>
    <w:rsid w:val="002E1426"/>
    <w:rsid w:val="002E2BCD"/>
    <w:rsid w:val="002F5427"/>
    <w:rsid w:val="002F60A1"/>
    <w:rsid w:val="002F6B39"/>
    <w:rsid w:val="002F7B80"/>
    <w:rsid w:val="003140C0"/>
    <w:rsid w:val="00314704"/>
    <w:rsid w:val="00324A49"/>
    <w:rsid w:val="00330478"/>
    <w:rsid w:val="00330A12"/>
    <w:rsid w:val="003329EE"/>
    <w:rsid w:val="00332E99"/>
    <w:rsid w:val="00340BBB"/>
    <w:rsid w:val="0034763B"/>
    <w:rsid w:val="00352E34"/>
    <w:rsid w:val="00353301"/>
    <w:rsid w:val="0035384E"/>
    <w:rsid w:val="003575F9"/>
    <w:rsid w:val="00360608"/>
    <w:rsid w:val="00362366"/>
    <w:rsid w:val="0036527A"/>
    <w:rsid w:val="00366933"/>
    <w:rsid w:val="0036719B"/>
    <w:rsid w:val="00370520"/>
    <w:rsid w:val="00373B5D"/>
    <w:rsid w:val="003771C3"/>
    <w:rsid w:val="00381C16"/>
    <w:rsid w:val="003850BD"/>
    <w:rsid w:val="0039032E"/>
    <w:rsid w:val="00391B72"/>
    <w:rsid w:val="00394DF3"/>
    <w:rsid w:val="003973E3"/>
    <w:rsid w:val="003A0961"/>
    <w:rsid w:val="003A52F5"/>
    <w:rsid w:val="003B5FC1"/>
    <w:rsid w:val="003C453F"/>
    <w:rsid w:val="003C7AC2"/>
    <w:rsid w:val="003D1DA7"/>
    <w:rsid w:val="003D35B0"/>
    <w:rsid w:val="003D3B78"/>
    <w:rsid w:val="003D775C"/>
    <w:rsid w:val="003E14F2"/>
    <w:rsid w:val="003E4655"/>
    <w:rsid w:val="003E5773"/>
    <w:rsid w:val="003F6B9A"/>
    <w:rsid w:val="00410BAE"/>
    <w:rsid w:val="004137DB"/>
    <w:rsid w:val="00413AF5"/>
    <w:rsid w:val="004161D5"/>
    <w:rsid w:val="00416AE1"/>
    <w:rsid w:val="004172F5"/>
    <w:rsid w:val="00417EED"/>
    <w:rsid w:val="00421F93"/>
    <w:rsid w:val="004246A4"/>
    <w:rsid w:val="00425554"/>
    <w:rsid w:val="00427A6C"/>
    <w:rsid w:val="00427BEC"/>
    <w:rsid w:val="004325B0"/>
    <w:rsid w:val="00441C78"/>
    <w:rsid w:val="00443676"/>
    <w:rsid w:val="0044549F"/>
    <w:rsid w:val="00445648"/>
    <w:rsid w:val="004536F9"/>
    <w:rsid w:val="0045503F"/>
    <w:rsid w:val="00457A37"/>
    <w:rsid w:val="00470E05"/>
    <w:rsid w:val="00473C6F"/>
    <w:rsid w:val="00481062"/>
    <w:rsid w:val="00492866"/>
    <w:rsid w:val="004A1775"/>
    <w:rsid w:val="004A3FA3"/>
    <w:rsid w:val="004B0D81"/>
    <w:rsid w:val="004B267C"/>
    <w:rsid w:val="004B6212"/>
    <w:rsid w:val="004C1BB5"/>
    <w:rsid w:val="004C2EE7"/>
    <w:rsid w:val="004C39CF"/>
    <w:rsid w:val="004C4259"/>
    <w:rsid w:val="004E22A9"/>
    <w:rsid w:val="004F3B36"/>
    <w:rsid w:val="004F3BA8"/>
    <w:rsid w:val="00501188"/>
    <w:rsid w:val="0050357E"/>
    <w:rsid w:val="0050365A"/>
    <w:rsid w:val="00505917"/>
    <w:rsid w:val="00506E7B"/>
    <w:rsid w:val="00514F43"/>
    <w:rsid w:val="0051621F"/>
    <w:rsid w:val="00520866"/>
    <w:rsid w:val="00521A74"/>
    <w:rsid w:val="00526559"/>
    <w:rsid w:val="00530332"/>
    <w:rsid w:val="00534017"/>
    <w:rsid w:val="0054216D"/>
    <w:rsid w:val="005459B4"/>
    <w:rsid w:val="00546464"/>
    <w:rsid w:val="0054667B"/>
    <w:rsid w:val="00552888"/>
    <w:rsid w:val="005562D3"/>
    <w:rsid w:val="0055647F"/>
    <w:rsid w:val="00562D0E"/>
    <w:rsid w:val="005638D4"/>
    <w:rsid w:val="00564212"/>
    <w:rsid w:val="00564678"/>
    <w:rsid w:val="00566589"/>
    <w:rsid w:val="00570E08"/>
    <w:rsid w:val="005715E5"/>
    <w:rsid w:val="0057580F"/>
    <w:rsid w:val="00575A4A"/>
    <w:rsid w:val="00587233"/>
    <w:rsid w:val="005873D1"/>
    <w:rsid w:val="0059014B"/>
    <w:rsid w:val="0059455B"/>
    <w:rsid w:val="005A04E8"/>
    <w:rsid w:val="005A25C0"/>
    <w:rsid w:val="005A3E43"/>
    <w:rsid w:val="005A4E53"/>
    <w:rsid w:val="005A4EBC"/>
    <w:rsid w:val="005B424C"/>
    <w:rsid w:val="005B4D2C"/>
    <w:rsid w:val="005D0FDC"/>
    <w:rsid w:val="005D4669"/>
    <w:rsid w:val="005D5E23"/>
    <w:rsid w:val="005E6DFF"/>
    <w:rsid w:val="005F1751"/>
    <w:rsid w:val="005F188C"/>
    <w:rsid w:val="0060068D"/>
    <w:rsid w:val="00607D15"/>
    <w:rsid w:val="00610370"/>
    <w:rsid w:val="006170A9"/>
    <w:rsid w:val="006177C2"/>
    <w:rsid w:val="00621DBE"/>
    <w:rsid w:val="00622B52"/>
    <w:rsid w:val="006234DC"/>
    <w:rsid w:val="00632887"/>
    <w:rsid w:val="00636DD6"/>
    <w:rsid w:val="0064103A"/>
    <w:rsid w:val="00641857"/>
    <w:rsid w:val="006432F7"/>
    <w:rsid w:val="006464BD"/>
    <w:rsid w:val="00646C9A"/>
    <w:rsid w:val="00651852"/>
    <w:rsid w:val="00651C28"/>
    <w:rsid w:val="00652964"/>
    <w:rsid w:val="006576EB"/>
    <w:rsid w:val="00657A97"/>
    <w:rsid w:val="00662E50"/>
    <w:rsid w:val="00672A5E"/>
    <w:rsid w:val="00677D9B"/>
    <w:rsid w:val="00683AA6"/>
    <w:rsid w:val="00683B90"/>
    <w:rsid w:val="006849AA"/>
    <w:rsid w:val="00692C93"/>
    <w:rsid w:val="0069502C"/>
    <w:rsid w:val="006A0087"/>
    <w:rsid w:val="006A180C"/>
    <w:rsid w:val="006A3CBA"/>
    <w:rsid w:val="006B2FD4"/>
    <w:rsid w:val="006C1262"/>
    <w:rsid w:val="006D0E4F"/>
    <w:rsid w:val="006E155D"/>
    <w:rsid w:val="006E1AB8"/>
    <w:rsid w:val="006E5761"/>
    <w:rsid w:val="006F1FE7"/>
    <w:rsid w:val="006F3A03"/>
    <w:rsid w:val="00703851"/>
    <w:rsid w:val="007061AA"/>
    <w:rsid w:val="007067A6"/>
    <w:rsid w:val="0072022C"/>
    <w:rsid w:val="007247F7"/>
    <w:rsid w:val="00727387"/>
    <w:rsid w:val="00727CDF"/>
    <w:rsid w:val="00731418"/>
    <w:rsid w:val="00734E28"/>
    <w:rsid w:val="00741FB2"/>
    <w:rsid w:val="00742D62"/>
    <w:rsid w:val="00746C65"/>
    <w:rsid w:val="00752F32"/>
    <w:rsid w:val="00753519"/>
    <w:rsid w:val="007629F9"/>
    <w:rsid w:val="007671EA"/>
    <w:rsid w:val="0076797C"/>
    <w:rsid w:val="0077119B"/>
    <w:rsid w:val="00772983"/>
    <w:rsid w:val="00775EF5"/>
    <w:rsid w:val="00793181"/>
    <w:rsid w:val="00794BA4"/>
    <w:rsid w:val="007A5F99"/>
    <w:rsid w:val="007B0FE6"/>
    <w:rsid w:val="007B666F"/>
    <w:rsid w:val="007D0CCB"/>
    <w:rsid w:val="007D2BEF"/>
    <w:rsid w:val="007D4273"/>
    <w:rsid w:val="007D7425"/>
    <w:rsid w:val="007E0E21"/>
    <w:rsid w:val="007E2EAE"/>
    <w:rsid w:val="007E4EC0"/>
    <w:rsid w:val="007F03C9"/>
    <w:rsid w:val="007F14C1"/>
    <w:rsid w:val="007F43E2"/>
    <w:rsid w:val="007F4474"/>
    <w:rsid w:val="007F5DB3"/>
    <w:rsid w:val="00804FC6"/>
    <w:rsid w:val="00805BEC"/>
    <w:rsid w:val="0081287A"/>
    <w:rsid w:val="008143D4"/>
    <w:rsid w:val="00815730"/>
    <w:rsid w:val="00816245"/>
    <w:rsid w:val="00817365"/>
    <w:rsid w:val="0081750D"/>
    <w:rsid w:val="00822313"/>
    <w:rsid w:val="0082471B"/>
    <w:rsid w:val="00825241"/>
    <w:rsid w:val="00831F94"/>
    <w:rsid w:val="008333FE"/>
    <w:rsid w:val="0083376C"/>
    <w:rsid w:val="00833C85"/>
    <w:rsid w:val="00835BB1"/>
    <w:rsid w:val="008406C0"/>
    <w:rsid w:val="00851F31"/>
    <w:rsid w:val="00861BD0"/>
    <w:rsid w:val="00863022"/>
    <w:rsid w:val="008646FD"/>
    <w:rsid w:val="00864DDE"/>
    <w:rsid w:val="00867314"/>
    <w:rsid w:val="00867FA3"/>
    <w:rsid w:val="00881123"/>
    <w:rsid w:val="00882FB0"/>
    <w:rsid w:val="00886E0F"/>
    <w:rsid w:val="00890D6C"/>
    <w:rsid w:val="00892AEC"/>
    <w:rsid w:val="008A5888"/>
    <w:rsid w:val="008A7309"/>
    <w:rsid w:val="008B6E28"/>
    <w:rsid w:val="008C2A00"/>
    <w:rsid w:val="008D1A5E"/>
    <w:rsid w:val="008D334D"/>
    <w:rsid w:val="008D5A67"/>
    <w:rsid w:val="008E0CFF"/>
    <w:rsid w:val="008E5628"/>
    <w:rsid w:val="008F2DCC"/>
    <w:rsid w:val="008F3AB1"/>
    <w:rsid w:val="008F757F"/>
    <w:rsid w:val="008F7A2C"/>
    <w:rsid w:val="008F7D56"/>
    <w:rsid w:val="009016C2"/>
    <w:rsid w:val="009016E0"/>
    <w:rsid w:val="00906434"/>
    <w:rsid w:val="0090750B"/>
    <w:rsid w:val="0090797B"/>
    <w:rsid w:val="00907A35"/>
    <w:rsid w:val="00920E1C"/>
    <w:rsid w:val="009226A9"/>
    <w:rsid w:val="00924334"/>
    <w:rsid w:val="009250F5"/>
    <w:rsid w:val="00925F84"/>
    <w:rsid w:val="0093070E"/>
    <w:rsid w:val="00940CC1"/>
    <w:rsid w:val="009452D6"/>
    <w:rsid w:val="00946898"/>
    <w:rsid w:val="00951712"/>
    <w:rsid w:val="009528B2"/>
    <w:rsid w:val="00954463"/>
    <w:rsid w:val="00955090"/>
    <w:rsid w:val="00956695"/>
    <w:rsid w:val="00960097"/>
    <w:rsid w:val="0096672F"/>
    <w:rsid w:val="00967F88"/>
    <w:rsid w:val="00971EC2"/>
    <w:rsid w:val="00972826"/>
    <w:rsid w:val="00980767"/>
    <w:rsid w:val="00986370"/>
    <w:rsid w:val="00991012"/>
    <w:rsid w:val="00994A9D"/>
    <w:rsid w:val="009A37B8"/>
    <w:rsid w:val="009A40AA"/>
    <w:rsid w:val="009A4D9F"/>
    <w:rsid w:val="009A4DC0"/>
    <w:rsid w:val="009A63CD"/>
    <w:rsid w:val="009A6614"/>
    <w:rsid w:val="009B2CB1"/>
    <w:rsid w:val="009B50B5"/>
    <w:rsid w:val="009B65C3"/>
    <w:rsid w:val="009B6947"/>
    <w:rsid w:val="009C03A5"/>
    <w:rsid w:val="009C6BCD"/>
    <w:rsid w:val="009D16BC"/>
    <w:rsid w:val="009D3801"/>
    <w:rsid w:val="009D3FF7"/>
    <w:rsid w:val="009D5E60"/>
    <w:rsid w:val="009D77FC"/>
    <w:rsid w:val="009E77B5"/>
    <w:rsid w:val="009F06E2"/>
    <w:rsid w:val="009F4587"/>
    <w:rsid w:val="009F476C"/>
    <w:rsid w:val="009F723C"/>
    <w:rsid w:val="00A010D0"/>
    <w:rsid w:val="00A119D5"/>
    <w:rsid w:val="00A1314B"/>
    <w:rsid w:val="00A155A8"/>
    <w:rsid w:val="00A15A3C"/>
    <w:rsid w:val="00A206DC"/>
    <w:rsid w:val="00A207C4"/>
    <w:rsid w:val="00A2140B"/>
    <w:rsid w:val="00A23ABF"/>
    <w:rsid w:val="00A25A17"/>
    <w:rsid w:val="00A40085"/>
    <w:rsid w:val="00A40BD5"/>
    <w:rsid w:val="00A4292E"/>
    <w:rsid w:val="00A435B3"/>
    <w:rsid w:val="00A475E9"/>
    <w:rsid w:val="00A50B5F"/>
    <w:rsid w:val="00A50C7A"/>
    <w:rsid w:val="00A52BFA"/>
    <w:rsid w:val="00A54C4D"/>
    <w:rsid w:val="00A62D35"/>
    <w:rsid w:val="00A635C3"/>
    <w:rsid w:val="00A7471A"/>
    <w:rsid w:val="00A7554E"/>
    <w:rsid w:val="00A7723D"/>
    <w:rsid w:val="00A80DA3"/>
    <w:rsid w:val="00A8515F"/>
    <w:rsid w:val="00A8530F"/>
    <w:rsid w:val="00A868EC"/>
    <w:rsid w:val="00A87877"/>
    <w:rsid w:val="00A942EF"/>
    <w:rsid w:val="00A9451D"/>
    <w:rsid w:val="00A9487F"/>
    <w:rsid w:val="00A94B4D"/>
    <w:rsid w:val="00A951A7"/>
    <w:rsid w:val="00AA4658"/>
    <w:rsid w:val="00AA4C09"/>
    <w:rsid w:val="00AA5537"/>
    <w:rsid w:val="00AA6284"/>
    <w:rsid w:val="00AB672D"/>
    <w:rsid w:val="00AB6B7D"/>
    <w:rsid w:val="00AC056B"/>
    <w:rsid w:val="00AC6440"/>
    <w:rsid w:val="00AD036A"/>
    <w:rsid w:val="00AD31EC"/>
    <w:rsid w:val="00AD612C"/>
    <w:rsid w:val="00AE000F"/>
    <w:rsid w:val="00AE1870"/>
    <w:rsid w:val="00AE3568"/>
    <w:rsid w:val="00AE6F91"/>
    <w:rsid w:val="00AE70AA"/>
    <w:rsid w:val="00AE741B"/>
    <w:rsid w:val="00AF2362"/>
    <w:rsid w:val="00AF63BF"/>
    <w:rsid w:val="00AF6D45"/>
    <w:rsid w:val="00AF78AA"/>
    <w:rsid w:val="00B018E3"/>
    <w:rsid w:val="00B03594"/>
    <w:rsid w:val="00B0372B"/>
    <w:rsid w:val="00B066BA"/>
    <w:rsid w:val="00B07381"/>
    <w:rsid w:val="00B11D12"/>
    <w:rsid w:val="00B13029"/>
    <w:rsid w:val="00B21180"/>
    <w:rsid w:val="00B23D49"/>
    <w:rsid w:val="00B24F15"/>
    <w:rsid w:val="00B2641D"/>
    <w:rsid w:val="00B2679A"/>
    <w:rsid w:val="00B30DF0"/>
    <w:rsid w:val="00B3151B"/>
    <w:rsid w:val="00B341F8"/>
    <w:rsid w:val="00B3463E"/>
    <w:rsid w:val="00B366D5"/>
    <w:rsid w:val="00B37F00"/>
    <w:rsid w:val="00B41ACA"/>
    <w:rsid w:val="00B44301"/>
    <w:rsid w:val="00B448BA"/>
    <w:rsid w:val="00B44A10"/>
    <w:rsid w:val="00B504B2"/>
    <w:rsid w:val="00B51AEE"/>
    <w:rsid w:val="00B55A77"/>
    <w:rsid w:val="00B56879"/>
    <w:rsid w:val="00B70B21"/>
    <w:rsid w:val="00B7274D"/>
    <w:rsid w:val="00B73960"/>
    <w:rsid w:val="00B73B50"/>
    <w:rsid w:val="00B742CC"/>
    <w:rsid w:val="00B754C5"/>
    <w:rsid w:val="00B80214"/>
    <w:rsid w:val="00B81883"/>
    <w:rsid w:val="00B82951"/>
    <w:rsid w:val="00B84CF3"/>
    <w:rsid w:val="00BA0C72"/>
    <w:rsid w:val="00BA3029"/>
    <w:rsid w:val="00BA5392"/>
    <w:rsid w:val="00BA70DD"/>
    <w:rsid w:val="00BA79C8"/>
    <w:rsid w:val="00BB1D89"/>
    <w:rsid w:val="00BB2D09"/>
    <w:rsid w:val="00BB61EB"/>
    <w:rsid w:val="00BC310B"/>
    <w:rsid w:val="00BC77BB"/>
    <w:rsid w:val="00BD1249"/>
    <w:rsid w:val="00BD508A"/>
    <w:rsid w:val="00BD6D79"/>
    <w:rsid w:val="00BD7CF7"/>
    <w:rsid w:val="00BE3751"/>
    <w:rsid w:val="00BE45BC"/>
    <w:rsid w:val="00BE748C"/>
    <w:rsid w:val="00BF23FF"/>
    <w:rsid w:val="00BF3ECA"/>
    <w:rsid w:val="00BF49B4"/>
    <w:rsid w:val="00C00556"/>
    <w:rsid w:val="00C00BCD"/>
    <w:rsid w:val="00C021CD"/>
    <w:rsid w:val="00C067AB"/>
    <w:rsid w:val="00C11318"/>
    <w:rsid w:val="00C12A2C"/>
    <w:rsid w:val="00C16265"/>
    <w:rsid w:val="00C23564"/>
    <w:rsid w:val="00C26BDC"/>
    <w:rsid w:val="00C27C84"/>
    <w:rsid w:val="00C3236D"/>
    <w:rsid w:val="00C34EC6"/>
    <w:rsid w:val="00C40644"/>
    <w:rsid w:val="00C4216A"/>
    <w:rsid w:val="00C44E8F"/>
    <w:rsid w:val="00C44EB3"/>
    <w:rsid w:val="00C54647"/>
    <w:rsid w:val="00C57E9A"/>
    <w:rsid w:val="00C609AA"/>
    <w:rsid w:val="00C60B50"/>
    <w:rsid w:val="00C6632C"/>
    <w:rsid w:val="00C7417B"/>
    <w:rsid w:val="00C832BA"/>
    <w:rsid w:val="00C87874"/>
    <w:rsid w:val="00C90940"/>
    <w:rsid w:val="00C93CF0"/>
    <w:rsid w:val="00C9485B"/>
    <w:rsid w:val="00C97AD4"/>
    <w:rsid w:val="00CA4CCC"/>
    <w:rsid w:val="00CA5E9F"/>
    <w:rsid w:val="00CB0045"/>
    <w:rsid w:val="00CB1BBF"/>
    <w:rsid w:val="00CC20C3"/>
    <w:rsid w:val="00CC4357"/>
    <w:rsid w:val="00CC44CE"/>
    <w:rsid w:val="00CC5A04"/>
    <w:rsid w:val="00CC5CFD"/>
    <w:rsid w:val="00CD0CB2"/>
    <w:rsid w:val="00CD1E13"/>
    <w:rsid w:val="00CD1F43"/>
    <w:rsid w:val="00CD338F"/>
    <w:rsid w:val="00CE1299"/>
    <w:rsid w:val="00CE5797"/>
    <w:rsid w:val="00CF6027"/>
    <w:rsid w:val="00CF662C"/>
    <w:rsid w:val="00CF7D42"/>
    <w:rsid w:val="00D16388"/>
    <w:rsid w:val="00D17B00"/>
    <w:rsid w:val="00D22791"/>
    <w:rsid w:val="00D22CFB"/>
    <w:rsid w:val="00D2601B"/>
    <w:rsid w:val="00D27056"/>
    <w:rsid w:val="00D31DC0"/>
    <w:rsid w:val="00D40C3C"/>
    <w:rsid w:val="00D441CB"/>
    <w:rsid w:val="00D45061"/>
    <w:rsid w:val="00D5138D"/>
    <w:rsid w:val="00D5174B"/>
    <w:rsid w:val="00D55E31"/>
    <w:rsid w:val="00D64936"/>
    <w:rsid w:val="00D64B39"/>
    <w:rsid w:val="00D659B7"/>
    <w:rsid w:val="00D75ACE"/>
    <w:rsid w:val="00D77C2E"/>
    <w:rsid w:val="00D80F2D"/>
    <w:rsid w:val="00D86E87"/>
    <w:rsid w:val="00D94E41"/>
    <w:rsid w:val="00DA2816"/>
    <w:rsid w:val="00DA33AB"/>
    <w:rsid w:val="00DA44C8"/>
    <w:rsid w:val="00DD4C58"/>
    <w:rsid w:val="00DD68CD"/>
    <w:rsid w:val="00DE4F08"/>
    <w:rsid w:val="00DF091F"/>
    <w:rsid w:val="00DF1A2D"/>
    <w:rsid w:val="00DF3622"/>
    <w:rsid w:val="00DF40FD"/>
    <w:rsid w:val="00DF724C"/>
    <w:rsid w:val="00E01DDC"/>
    <w:rsid w:val="00E1268E"/>
    <w:rsid w:val="00E1383C"/>
    <w:rsid w:val="00E15AE7"/>
    <w:rsid w:val="00E16523"/>
    <w:rsid w:val="00E23CF6"/>
    <w:rsid w:val="00E23F08"/>
    <w:rsid w:val="00E2401F"/>
    <w:rsid w:val="00E31174"/>
    <w:rsid w:val="00E349DA"/>
    <w:rsid w:val="00E35AA3"/>
    <w:rsid w:val="00E37DBE"/>
    <w:rsid w:val="00E42B3F"/>
    <w:rsid w:val="00E51240"/>
    <w:rsid w:val="00E51524"/>
    <w:rsid w:val="00E52FA8"/>
    <w:rsid w:val="00E56316"/>
    <w:rsid w:val="00E72B6B"/>
    <w:rsid w:val="00E73D9E"/>
    <w:rsid w:val="00E74D00"/>
    <w:rsid w:val="00E75AB0"/>
    <w:rsid w:val="00E76D43"/>
    <w:rsid w:val="00E904A9"/>
    <w:rsid w:val="00E90BC2"/>
    <w:rsid w:val="00E9407E"/>
    <w:rsid w:val="00E94A11"/>
    <w:rsid w:val="00E967D9"/>
    <w:rsid w:val="00EA73A2"/>
    <w:rsid w:val="00EC3CC6"/>
    <w:rsid w:val="00EC50C8"/>
    <w:rsid w:val="00EC5DFB"/>
    <w:rsid w:val="00EC664B"/>
    <w:rsid w:val="00ED127A"/>
    <w:rsid w:val="00ED219E"/>
    <w:rsid w:val="00ED512C"/>
    <w:rsid w:val="00ED6419"/>
    <w:rsid w:val="00EE290E"/>
    <w:rsid w:val="00EE3625"/>
    <w:rsid w:val="00EE49FD"/>
    <w:rsid w:val="00EE7019"/>
    <w:rsid w:val="00EF1CEC"/>
    <w:rsid w:val="00EF1DF9"/>
    <w:rsid w:val="00F004B7"/>
    <w:rsid w:val="00F00A18"/>
    <w:rsid w:val="00F03782"/>
    <w:rsid w:val="00F03AED"/>
    <w:rsid w:val="00F04D94"/>
    <w:rsid w:val="00F072A9"/>
    <w:rsid w:val="00F133E0"/>
    <w:rsid w:val="00F15D0C"/>
    <w:rsid w:val="00F15E3E"/>
    <w:rsid w:val="00F162D6"/>
    <w:rsid w:val="00F177A3"/>
    <w:rsid w:val="00F21E05"/>
    <w:rsid w:val="00F25529"/>
    <w:rsid w:val="00F30062"/>
    <w:rsid w:val="00F32871"/>
    <w:rsid w:val="00F347F6"/>
    <w:rsid w:val="00F35113"/>
    <w:rsid w:val="00F402AA"/>
    <w:rsid w:val="00F41F5E"/>
    <w:rsid w:val="00F4222C"/>
    <w:rsid w:val="00F43001"/>
    <w:rsid w:val="00F47121"/>
    <w:rsid w:val="00F52862"/>
    <w:rsid w:val="00F55133"/>
    <w:rsid w:val="00F60E3F"/>
    <w:rsid w:val="00F6655D"/>
    <w:rsid w:val="00F77E71"/>
    <w:rsid w:val="00F80472"/>
    <w:rsid w:val="00F823F2"/>
    <w:rsid w:val="00F82855"/>
    <w:rsid w:val="00F90C7C"/>
    <w:rsid w:val="00F94052"/>
    <w:rsid w:val="00FA1019"/>
    <w:rsid w:val="00FA1939"/>
    <w:rsid w:val="00FA7C11"/>
    <w:rsid w:val="00FB3BE8"/>
    <w:rsid w:val="00FC0DE1"/>
    <w:rsid w:val="00FC184C"/>
    <w:rsid w:val="00FC5A8C"/>
    <w:rsid w:val="00FD07B2"/>
    <w:rsid w:val="00FD5EE0"/>
    <w:rsid w:val="00FE2300"/>
    <w:rsid w:val="00FE23B5"/>
    <w:rsid w:val="00FE462C"/>
    <w:rsid w:val="00FE4E89"/>
    <w:rsid w:val="00FE73C9"/>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6374F832"/>
  <w15:chartTrackingRefBased/>
  <w15:docId w15:val="{394AF8BE-E27C-47F9-8CBC-5A4FA83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Medium" w:hAnsi="Albertus Medium"/>
      <w:sz w:val="24"/>
      <w:szCs w:val="24"/>
      <w:lang w:eastAsia="en-US"/>
    </w:rPr>
  </w:style>
  <w:style w:type="paragraph" w:styleId="Heading1">
    <w:name w:val="heading 1"/>
    <w:basedOn w:val="Normal"/>
    <w:next w:val="Normal"/>
    <w:qFormat/>
    <w:pPr>
      <w:keepNext/>
      <w:jc w:val="righ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40"/>
    </w:rPr>
  </w:style>
  <w:style w:type="paragraph" w:styleId="Heading3">
    <w:name w:val="heading 3"/>
    <w:basedOn w:val="Normal"/>
    <w:next w:val="Normal"/>
    <w:qFormat/>
    <w:rsid w:val="00BB1D89"/>
    <w:pPr>
      <w:keepNext/>
      <w:spacing w:before="240" w:after="60"/>
      <w:outlineLvl w:val="2"/>
    </w:pPr>
    <w:rPr>
      <w:rFonts w:ascii="Arial" w:hAnsi="Arial" w:cs="Arial"/>
      <w:b/>
      <w:bCs/>
      <w:sz w:val="26"/>
      <w:szCs w:val="26"/>
    </w:rPr>
  </w:style>
  <w:style w:type="paragraph" w:styleId="Heading4">
    <w:name w:val="heading 4"/>
    <w:basedOn w:val="Normal"/>
    <w:next w:val="Normal"/>
    <w:qFormat/>
    <w:rsid w:val="00BB1D8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B1D89"/>
    <w:pPr>
      <w:spacing w:before="240" w:after="60"/>
      <w:outlineLvl w:val="4"/>
    </w:pPr>
    <w:rPr>
      <w:b/>
      <w:bCs/>
      <w:i/>
      <w:iCs/>
      <w:sz w:val="26"/>
      <w:szCs w:val="26"/>
    </w:rPr>
  </w:style>
  <w:style w:type="paragraph" w:styleId="Heading6">
    <w:name w:val="heading 6"/>
    <w:basedOn w:val="Normal"/>
    <w:next w:val="Normal"/>
    <w:qFormat/>
    <w:rsid w:val="00BB1D89"/>
    <w:pPr>
      <w:spacing w:before="240" w:after="60"/>
      <w:outlineLvl w:val="5"/>
    </w:pPr>
    <w:rPr>
      <w:rFonts w:ascii="Times New Roman" w:hAnsi="Times New Roman"/>
      <w:b/>
      <w:bCs/>
      <w:sz w:val="22"/>
      <w:szCs w:val="22"/>
    </w:rPr>
  </w:style>
  <w:style w:type="paragraph" w:styleId="Heading7">
    <w:name w:val="heading 7"/>
    <w:basedOn w:val="Normal"/>
    <w:next w:val="Normal"/>
    <w:qFormat/>
    <w:rsid w:val="00BB1D89"/>
    <w:pPr>
      <w:spacing w:before="240" w:after="60"/>
      <w:outlineLvl w:val="6"/>
    </w:pPr>
    <w:rPr>
      <w:rFonts w:ascii="Times New Roman" w:hAnsi="Times New Roman"/>
    </w:rPr>
  </w:style>
  <w:style w:type="paragraph" w:styleId="Heading8">
    <w:name w:val="heading 8"/>
    <w:basedOn w:val="Normal"/>
    <w:next w:val="Normal"/>
    <w:qFormat/>
    <w:rsid w:val="00BB1D89"/>
    <w:pPr>
      <w:spacing w:before="240" w:after="60"/>
      <w:outlineLvl w:val="7"/>
    </w:pPr>
    <w:rPr>
      <w:rFonts w:ascii="Times New Roman" w:hAnsi="Times New Roman"/>
      <w:i/>
      <w:iCs/>
    </w:rPr>
  </w:style>
  <w:style w:type="paragraph" w:styleId="Heading9">
    <w:name w:val="heading 9"/>
    <w:basedOn w:val="Normal"/>
    <w:next w:val="Normal"/>
    <w:qFormat/>
    <w:rsid w:val="00BB1D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Cs w:val="20"/>
    </w:rPr>
  </w:style>
  <w:style w:type="paragraph" w:styleId="Title">
    <w:name w:val="Title"/>
    <w:basedOn w:val="Normal"/>
    <w:next w:val="Subtitle"/>
    <w:qFormat/>
    <w:rsid w:val="00F82855"/>
    <w:pPr>
      <w:suppressAutoHyphens/>
      <w:jc w:val="center"/>
    </w:pPr>
    <w:rPr>
      <w:rFonts w:ascii="Times New Roman" w:hAnsi="Times New Roman"/>
      <w:b/>
      <w:sz w:val="20"/>
      <w:szCs w:val="20"/>
      <w:lang w:eastAsia="en-GB"/>
    </w:rPr>
  </w:style>
  <w:style w:type="paragraph" w:styleId="Subtitle">
    <w:name w:val="Subtitle"/>
    <w:basedOn w:val="Normal"/>
    <w:next w:val="BodyText"/>
    <w:qFormat/>
    <w:rsid w:val="00F82855"/>
    <w:pPr>
      <w:widowControl w:val="0"/>
      <w:tabs>
        <w:tab w:val="left" w:pos="204"/>
      </w:tabs>
      <w:suppressAutoHyphens/>
      <w:jc w:val="center"/>
    </w:pPr>
    <w:rPr>
      <w:rFonts w:ascii="Times New Roman" w:hAnsi="Times New Roman"/>
      <w:b/>
      <w:szCs w:val="20"/>
      <w:lang w:val="en-US" w:eastAsia="en-GB"/>
    </w:rPr>
  </w:style>
  <w:style w:type="paragraph" w:styleId="BodyText">
    <w:name w:val="Body Text"/>
    <w:basedOn w:val="Normal"/>
    <w:rsid w:val="00F82855"/>
    <w:pPr>
      <w:spacing w:after="120"/>
    </w:pPr>
  </w:style>
  <w:style w:type="paragraph" w:styleId="BalloonText">
    <w:name w:val="Balloon Text"/>
    <w:basedOn w:val="Normal"/>
    <w:semiHidden/>
    <w:rsid w:val="00133031"/>
    <w:rPr>
      <w:rFonts w:ascii="Tahoma" w:hAnsi="Tahoma" w:cs="Tahoma"/>
      <w:sz w:val="16"/>
      <w:szCs w:val="16"/>
    </w:rPr>
  </w:style>
  <w:style w:type="paragraph" w:customStyle="1" w:styleId="Technical4">
    <w:name w:val="Technical 4"/>
    <w:rsid w:val="00BB1D89"/>
    <w:pPr>
      <w:tabs>
        <w:tab w:val="left" w:pos="-720"/>
      </w:tabs>
      <w:suppressAutoHyphens/>
    </w:pPr>
    <w:rPr>
      <w:rFonts w:ascii="Courier New" w:hAnsi="Courier New"/>
      <w:b/>
      <w:sz w:val="24"/>
      <w:lang w:val="en-US" w:eastAsia="en-US"/>
    </w:rPr>
  </w:style>
  <w:style w:type="paragraph" w:styleId="ListParagraph">
    <w:name w:val="List Paragraph"/>
    <w:basedOn w:val="Normal"/>
    <w:uiPriority w:val="34"/>
    <w:qFormat/>
    <w:rsid w:val="008E0C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445B-D3FE-4054-9F69-3BBA4939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2246</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ãããããããããããã</vt:lpstr>
    </vt:vector>
  </TitlesOfParts>
  <Company>Invicta Safety</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ãããããããããããã</dc:title>
  <dc:subject/>
  <dc:creator>Andrew Henderson</dc:creator>
  <cp:keywords/>
  <cp:lastModifiedBy>R Hill</cp:lastModifiedBy>
  <cp:revision>7</cp:revision>
  <cp:lastPrinted>2018-07-25T10:25:00Z</cp:lastPrinted>
  <dcterms:created xsi:type="dcterms:W3CDTF">2018-09-04T14:04:00Z</dcterms:created>
  <dcterms:modified xsi:type="dcterms:W3CDTF">2018-09-10T08:36:00Z</dcterms:modified>
</cp:coreProperties>
</file>